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C23" w:rsidRDefault="00722C23" w:rsidP="000B34A3">
      <w:pPr>
        <w:ind w:left="-170" w:right="-170"/>
        <w:jc w:val="both"/>
        <w:rPr>
          <w:sz w:val="22"/>
          <w:szCs w:val="22"/>
        </w:rPr>
        <w:sectPr w:rsidR="00722C23" w:rsidSect="00445AA0">
          <w:headerReference w:type="default" r:id="rId8"/>
          <w:footerReference w:type="default" r:id="rId9"/>
          <w:pgSz w:w="11906" w:h="16838"/>
          <w:pgMar w:top="1440" w:right="1106" w:bottom="1440" w:left="1259" w:header="709" w:footer="709" w:gutter="0"/>
          <w:cols w:num="2" w:space="720"/>
          <w:docGrid w:linePitch="360"/>
        </w:sectPr>
      </w:pPr>
      <w:bookmarkStart w:id="0" w:name="_GoBack"/>
      <w:bookmarkEnd w:id="0"/>
    </w:p>
    <w:p w:rsidR="00715946" w:rsidRPr="00722C23" w:rsidRDefault="007A7ACF" w:rsidP="000B34A3">
      <w:pPr>
        <w:spacing w:after="120"/>
        <w:ind w:left="-170" w:right="-170"/>
        <w:jc w:val="both"/>
        <w:rPr>
          <w:sz w:val="22"/>
          <w:szCs w:val="22"/>
        </w:rPr>
      </w:pPr>
      <w:r>
        <w:rPr>
          <w:sz w:val="22"/>
          <w:szCs w:val="22"/>
        </w:rPr>
        <w:lastRenderedPageBreak/>
        <w:t>This note deals with c</w:t>
      </w:r>
      <w:r w:rsidR="00FC42A6" w:rsidRPr="00722C23">
        <w:rPr>
          <w:sz w:val="22"/>
          <w:szCs w:val="22"/>
        </w:rPr>
        <w:t>ases which involve Court proceedings</w:t>
      </w:r>
      <w:r>
        <w:rPr>
          <w:sz w:val="22"/>
          <w:szCs w:val="22"/>
        </w:rPr>
        <w:t xml:space="preserve"> (sometimes known as “litigation”), arbitration or tribunal hearings.</w:t>
      </w:r>
      <w:r w:rsidR="00FC42A6" w:rsidRPr="00722C23">
        <w:rPr>
          <w:sz w:val="22"/>
          <w:szCs w:val="22"/>
        </w:rPr>
        <w:t xml:space="preserve">  It is always difficult to estimate the likely costs of such a case.  There are </w:t>
      </w:r>
      <w:r w:rsidR="00722C23">
        <w:rPr>
          <w:sz w:val="22"/>
          <w:szCs w:val="22"/>
        </w:rPr>
        <w:t>many factors outside our control</w:t>
      </w:r>
      <w:r w:rsidR="00FC42A6" w:rsidRPr="00722C23">
        <w:rPr>
          <w:sz w:val="22"/>
          <w:szCs w:val="22"/>
        </w:rPr>
        <w:t xml:space="preserve"> such as:</w:t>
      </w:r>
    </w:p>
    <w:p w:rsidR="00722C23" w:rsidRDefault="00722C23" w:rsidP="000B34A3">
      <w:pPr>
        <w:numPr>
          <w:ilvl w:val="0"/>
          <w:numId w:val="1"/>
        </w:numPr>
        <w:tabs>
          <w:tab w:val="clear" w:pos="720"/>
          <w:tab w:val="num" w:pos="360"/>
        </w:tabs>
        <w:spacing w:after="120"/>
        <w:ind w:left="-170" w:right="-170" w:firstLine="0"/>
        <w:jc w:val="both"/>
        <w:rPr>
          <w:sz w:val="22"/>
          <w:szCs w:val="22"/>
        </w:rPr>
      </w:pPr>
      <w:r>
        <w:rPr>
          <w:sz w:val="22"/>
          <w:szCs w:val="22"/>
        </w:rPr>
        <w:t>What orders will the court make?</w:t>
      </w:r>
    </w:p>
    <w:p w:rsidR="00722C23" w:rsidRDefault="00722C23" w:rsidP="000B34A3">
      <w:pPr>
        <w:numPr>
          <w:ilvl w:val="0"/>
          <w:numId w:val="1"/>
        </w:numPr>
        <w:tabs>
          <w:tab w:val="clear" w:pos="720"/>
          <w:tab w:val="num" w:pos="360"/>
        </w:tabs>
        <w:spacing w:after="120"/>
        <w:ind w:left="-170" w:right="-170" w:firstLine="0"/>
        <w:jc w:val="both"/>
        <w:rPr>
          <w:sz w:val="22"/>
          <w:szCs w:val="22"/>
        </w:rPr>
      </w:pPr>
      <w:r w:rsidRPr="00722C23">
        <w:rPr>
          <w:sz w:val="22"/>
          <w:szCs w:val="22"/>
        </w:rPr>
        <w:t xml:space="preserve">Will the other side fight </w:t>
      </w:r>
      <w:r>
        <w:rPr>
          <w:sz w:val="22"/>
          <w:szCs w:val="22"/>
        </w:rPr>
        <w:t>every issue</w:t>
      </w:r>
      <w:r w:rsidRPr="00722C23">
        <w:rPr>
          <w:sz w:val="22"/>
          <w:szCs w:val="22"/>
        </w:rPr>
        <w:t>?</w:t>
      </w:r>
    </w:p>
    <w:p w:rsidR="00722C23" w:rsidRDefault="00722C23" w:rsidP="000B34A3">
      <w:pPr>
        <w:numPr>
          <w:ilvl w:val="0"/>
          <w:numId w:val="1"/>
        </w:numPr>
        <w:tabs>
          <w:tab w:val="clear" w:pos="720"/>
          <w:tab w:val="num" w:pos="360"/>
        </w:tabs>
        <w:spacing w:after="120"/>
        <w:ind w:left="-170" w:right="-170" w:firstLine="0"/>
        <w:jc w:val="both"/>
        <w:rPr>
          <w:sz w:val="22"/>
          <w:szCs w:val="22"/>
        </w:rPr>
      </w:pPr>
      <w:r w:rsidRPr="00722C23">
        <w:rPr>
          <w:sz w:val="22"/>
          <w:szCs w:val="22"/>
        </w:rPr>
        <w:t>Will expensive expert evidence be needed?</w:t>
      </w:r>
    </w:p>
    <w:p w:rsidR="005E0090" w:rsidRDefault="005E0090" w:rsidP="000B34A3">
      <w:pPr>
        <w:numPr>
          <w:ilvl w:val="0"/>
          <w:numId w:val="1"/>
        </w:numPr>
        <w:tabs>
          <w:tab w:val="clear" w:pos="720"/>
          <w:tab w:val="num" w:pos="360"/>
        </w:tabs>
        <w:spacing w:after="120"/>
        <w:ind w:left="-170" w:right="-170" w:firstLine="0"/>
        <w:jc w:val="both"/>
        <w:rPr>
          <w:sz w:val="22"/>
          <w:szCs w:val="22"/>
        </w:rPr>
      </w:pPr>
      <w:r>
        <w:rPr>
          <w:sz w:val="22"/>
          <w:szCs w:val="22"/>
        </w:rPr>
        <w:t>How difficult will it be to prove your case?</w:t>
      </w:r>
    </w:p>
    <w:p w:rsidR="00FC42A6" w:rsidRPr="00722C23" w:rsidRDefault="00FC42A6" w:rsidP="000B34A3">
      <w:pPr>
        <w:spacing w:after="120"/>
        <w:ind w:left="-170" w:right="-170"/>
        <w:jc w:val="both"/>
        <w:rPr>
          <w:sz w:val="22"/>
          <w:szCs w:val="22"/>
        </w:rPr>
      </w:pPr>
      <w:r w:rsidRPr="00722C23">
        <w:rPr>
          <w:sz w:val="22"/>
          <w:szCs w:val="22"/>
        </w:rPr>
        <w:t>These and other questions cannot all be answered when you first come to us for advice.</w:t>
      </w:r>
    </w:p>
    <w:p w:rsidR="00FC42A6" w:rsidRPr="00722C23" w:rsidRDefault="00FC42A6" w:rsidP="000B34A3">
      <w:pPr>
        <w:keepNext/>
        <w:spacing w:after="120"/>
        <w:ind w:left="-170" w:right="-170"/>
        <w:jc w:val="both"/>
        <w:rPr>
          <w:b/>
        </w:rPr>
      </w:pPr>
      <w:r w:rsidRPr="00722C23">
        <w:rPr>
          <w:b/>
        </w:rPr>
        <w:t xml:space="preserve">Funding </w:t>
      </w:r>
      <w:r w:rsidR="008D11D5">
        <w:rPr>
          <w:b/>
        </w:rPr>
        <w:t>o</w:t>
      </w:r>
      <w:r w:rsidRPr="00722C23">
        <w:rPr>
          <w:b/>
        </w:rPr>
        <w:t>ptions</w:t>
      </w:r>
    </w:p>
    <w:p w:rsidR="00FC42A6" w:rsidRPr="00722C23" w:rsidRDefault="00FC42A6" w:rsidP="000B34A3">
      <w:pPr>
        <w:spacing w:after="120"/>
        <w:ind w:left="-170" w:right="-170"/>
        <w:jc w:val="both"/>
        <w:rPr>
          <w:sz w:val="22"/>
          <w:szCs w:val="22"/>
        </w:rPr>
      </w:pPr>
      <w:r w:rsidRPr="00722C23">
        <w:rPr>
          <w:sz w:val="22"/>
          <w:szCs w:val="22"/>
        </w:rPr>
        <w:t xml:space="preserve">You will understand that the work done for you in </w:t>
      </w:r>
      <w:r w:rsidR="007A7ACF">
        <w:rPr>
          <w:sz w:val="22"/>
          <w:szCs w:val="22"/>
        </w:rPr>
        <w:t>resolving a dispute</w:t>
      </w:r>
      <w:r w:rsidRPr="00722C23">
        <w:rPr>
          <w:sz w:val="22"/>
          <w:szCs w:val="22"/>
        </w:rPr>
        <w:t xml:space="preserve"> has to be paid for.  Clients will normally be expected to meet the legal charges and expenses of their own case.</w:t>
      </w:r>
    </w:p>
    <w:p w:rsidR="00FC42A6" w:rsidRPr="00722C23" w:rsidRDefault="00642961" w:rsidP="000B34A3">
      <w:pPr>
        <w:spacing w:after="120"/>
        <w:ind w:left="-170" w:right="-170"/>
        <w:jc w:val="both"/>
        <w:rPr>
          <w:sz w:val="22"/>
          <w:szCs w:val="22"/>
        </w:rPr>
      </w:pPr>
      <w:r w:rsidRPr="00722C23">
        <w:rPr>
          <w:sz w:val="22"/>
          <w:szCs w:val="22"/>
        </w:rPr>
        <w:t>There are</w:t>
      </w:r>
      <w:r w:rsidR="005E0090">
        <w:rPr>
          <w:sz w:val="22"/>
          <w:szCs w:val="22"/>
        </w:rPr>
        <w:t>,</w:t>
      </w:r>
      <w:r w:rsidRPr="00722C23">
        <w:rPr>
          <w:sz w:val="22"/>
          <w:szCs w:val="22"/>
        </w:rPr>
        <w:t xml:space="preserve"> however</w:t>
      </w:r>
      <w:r w:rsidR="005E0090">
        <w:rPr>
          <w:sz w:val="22"/>
          <w:szCs w:val="22"/>
        </w:rPr>
        <w:t>,</w:t>
      </w:r>
      <w:r w:rsidRPr="00722C23">
        <w:rPr>
          <w:sz w:val="22"/>
          <w:szCs w:val="22"/>
        </w:rPr>
        <w:t xml:space="preserve"> a number of options.  Please let us know if you want information on any of these:</w:t>
      </w:r>
    </w:p>
    <w:p w:rsidR="00642961" w:rsidRPr="000B34A3" w:rsidRDefault="00642961" w:rsidP="000B34A3">
      <w:pPr>
        <w:numPr>
          <w:ilvl w:val="0"/>
          <w:numId w:val="1"/>
        </w:numPr>
        <w:tabs>
          <w:tab w:val="clear" w:pos="720"/>
          <w:tab w:val="num" w:pos="360"/>
        </w:tabs>
        <w:spacing w:after="120"/>
        <w:ind w:left="-170" w:right="-170" w:firstLine="0"/>
        <w:jc w:val="both"/>
        <w:rPr>
          <w:sz w:val="22"/>
          <w:szCs w:val="22"/>
        </w:rPr>
      </w:pPr>
      <w:r w:rsidRPr="008C226F">
        <w:rPr>
          <w:b/>
          <w:sz w:val="22"/>
          <w:szCs w:val="22"/>
        </w:rPr>
        <w:t>Community Legal Service Funding</w:t>
      </w:r>
      <w:r w:rsidRPr="000B34A3">
        <w:rPr>
          <w:sz w:val="22"/>
          <w:szCs w:val="22"/>
        </w:rPr>
        <w:t xml:space="preserve">.  </w:t>
      </w:r>
      <w:r w:rsidR="005E0090" w:rsidRPr="000B34A3">
        <w:rPr>
          <w:sz w:val="22"/>
          <w:szCs w:val="22"/>
        </w:rPr>
        <w:t>This is n</w:t>
      </w:r>
      <w:r w:rsidRPr="000B34A3">
        <w:rPr>
          <w:sz w:val="22"/>
          <w:szCs w:val="22"/>
        </w:rPr>
        <w:t xml:space="preserve">ow only available on a very limited basis in litigation cases.  If you wish </w:t>
      </w:r>
      <w:r w:rsidR="008D11D5" w:rsidRPr="000B34A3">
        <w:rPr>
          <w:sz w:val="22"/>
          <w:szCs w:val="22"/>
        </w:rPr>
        <w:t>to check your</w:t>
      </w:r>
      <w:r w:rsidRPr="000B34A3">
        <w:rPr>
          <w:sz w:val="22"/>
          <w:szCs w:val="22"/>
        </w:rPr>
        <w:t xml:space="preserve"> eligibility, </w:t>
      </w:r>
      <w:r w:rsidR="008D11D5" w:rsidRPr="000B34A3">
        <w:rPr>
          <w:sz w:val="22"/>
          <w:szCs w:val="22"/>
        </w:rPr>
        <w:t xml:space="preserve">please go to </w:t>
      </w:r>
      <w:hyperlink r:id="rId10" w:anchor="before-you-start" w:history="1">
        <w:r w:rsidR="008D11D5" w:rsidRPr="000B34A3">
          <w:rPr>
            <w:rStyle w:val="Hyperlink"/>
            <w:sz w:val="22"/>
            <w:szCs w:val="22"/>
          </w:rPr>
          <w:t>https://www.gov.uk/check-legal-aid#before-you-start</w:t>
        </w:r>
      </w:hyperlink>
      <w:r w:rsidRPr="000B34A3">
        <w:rPr>
          <w:sz w:val="22"/>
          <w:szCs w:val="22"/>
        </w:rPr>
        <w:t>.</w:t>
      </w:r>
    </w:p>
    <w:p w:rsidR="00642961" w:rsidRPr="00722C23" w:rsidRDefault="00642961" w:rsidP="000B34A3">
      <w:pPr>
        <w:numPr>
          <w:ilvl w:val="0"/>
          <w:numId w:val="1"/>
        </w:numPr>
        <w:tabs>
          <w:tab w:val="clear" w:pos="720"/>
          <w:tab w:val="num" w:pos="360"/>
        </w:tabs>
        <w:spacing w:after="120"/>
        <w:ind w:left="-170" w:right="-170" w:firstLine="0"/>
        <w:jc w:val="both"/>
        <w:rPr>
          <w:sz w:val="22"/>
          <w:szCs w:val="22"/>
        </w:rPr>
      </w:pPr>
      <w:r w:rsidRPr="000B34A3">
        <w:rPr>
          <w:sz w:val="22"/>
          <w:szCs w:val="22"/>
        </w:rPr>
        <w:t xml:space="preserve">Funding from </w:t>
      </w:r>
      <w:r w:rsidRPr="008C226F">
        <w:rPr>
          <w:b/>
          <w:sz w:val="22"/>
          <w:szCs w:val="22"/>
        </w:rPr>
        <w:t>third</w:t>
      </w:r>
      <w:r w:rsidRPr="004173C1">
        <w:rPr>
          <w:b/>
          <w:sz w:val="22"/>
          <w:szCs w:val="22"/>
        </w:rPr>
        <w:t xml:space="preserve"> </w:t>
      </w:r>
      <w:r w:rsidRPr="000127DA">
        <w:rPr>
          <w:b/>
          <w:sz w:val="22"/>
          <w:szCs w:val="22"/>
        </w:rPr>
        <w:t>parties</w:t>
      </w:r>
      <w:r w:rsidRPr="00722C23">
        <w:rPr>
          <w:sz w:val="22"/>
          <w:szCs w:val="22"/>
        </w:rPr>
        <w:t xml:space="preserve"> such as a Trade Union, family or employer.  (Please tell us if this may be available to you).</w:t>
      </w:r>
    </w:p>
    <w:p w:rsidR="005E0090" w:rsidRDefault="005E0090" w:rsidP="000B34A3">
      <w:pPr>
        <w:numPr>
          <w:ilvl w:val="0"/>
          <w:numId w:val="1"/>
        </w:numPr>
        <w:tabs>
          <w:tab w:val="clear" w:pos="720"/>
          <w:tab w:val="num" w:pos="360"/>
        </w:tabs>
        <w:spacing w:after="120"/>
        <w:ind w:left="-170" w:right="-170" w:firstLine="0"/>
        <w:jc w:val="both"/>
        <w:rPr>
          <w:sz w:val="22"/>
          <w:szCs w:val="22"/>
        </w:rPr>
      </w:pPr>
      <w:r w:rsidRPr="000127DA">
        <w:rPr>
          <w:b/>
          <w:sz w:val="22"/>
          <w:szCs w:val="22"/>
        </w:rPr>
        <w:t>Household or Business Protection Insurance</w:t>
      </w:r>
      <w:r>
        <w:rPr>
          <w:sz w:val="22"/>
          <w:szCs w:val="22"/>
        </w:rPr>
        <w:t xml:space="preserve"> (see “Before the Event Policies” below</w:t>
      </w:r>
      <w:r w:rsidR="0025341F">
        <w:rPr>
          <w:sz w:val="22"/>
          <w:szCs w:val="22"/>
        </w:rPr>
        <w:t>)</w:t>
      </w:r>
      <w:r>
        <w:rPr>
          <w:sz w:val="22"/>
          <w:szCs w:val="22"/>
        </w:rPr>
        <w:t>.</w:t>
      </w:r>
    </w:p>
    <w:p w:rsidR="00642961" w:rsidRPr="000B34A3" w:rsidRDefault="00642961" w:rsidP="000B34A3">
      <w:pPr>
        <w:numPr>
          <w:ilvl w:val="0"/>
          <w:numId w:val="1"/>
        </w:numPr>
        <w:tabs>
          <w:tab w:val="clear" w:pos="720"/>
          <w:tab w:val="num" w:pos="360"/>
        </w:tabs>
        <w:spacing w:after="120"/>
        <w:ind w:left="-170" w:right="-170" w:firstLine="0"/>
        <w:jc w:val="both"/>
        <w:rPr>
          <w:sz w:val="22"/>
          <w:szCs w:val="22"/>
        </w:rPr>
      </w:pPr>
      <w:r w:rsidRPr="000127DA">
        <w:rPr>
          <w:b/>
          <w:sz w:val="22"/>
          <w:szCs w:val="22"/>
        </w:rPr>
        <w:t>Risk sharing</w:t>
      </w:r>
      <w:r w:rsidRPr="00722C23">
        <w:rPr>
          <w:sz w:val="22"/>
          <w:szCs w:val="22"/>
        </w:rPr>
        <w:t xml:space="preserve">: Those who may offer a risk sharing </w:t>
      </w:r>
      <w:r w:rsidRPr="000B34A3">
        <w:rPr>
          <w:sz w:val="22"/>
          <w:szCs w:val="22"/>
        </w:rPr>
        <w:t>arrangement include:</w:t>
      </w:r>
    </w:p>
    <w:p w:rsidR="00642961" w:rsidRPr="000B34A3" w:rsidRDefault="00642961" w:rsidP="008C226F">
      <w:pPr>
        <w:numPr>
          <w:ilvl w:val="0"/>
          <w:numId w:val="1"/>
        </w:numPr>
        <w:spacing w:after="120"/>
        <w:ind w:left="470" w:right="-170" w:hanging="357"/>
        <w:jc w:val="both"/>
        <w:rPr>
          <w:sz w:val="22"/>
          <w:szCs w:val="22"/>
        </w:rPr>
      </w:pPr>
      <w:r w:rsidRPr="000B34A3">
        <w:rPr>
          <w:sz w:val="22"/>
          <w:szCs w:val="22"/>
        </w:rPr>
        <w:t>Insurance companies</w:t>
      </w:r>
      <w:r w:rsidR="005E0090" w:rsidRPr="000B34A3">
        <w:rPr>
          <w:sz w:val="22"/>
          <w:szCs w:val="22"/>
        </w:rPr>
        <w:t xml:space="preserve"> and other “third party” funding organisations;</w:t>
      </w:r>
    </w:p>
    <w:p w:rsidR="00642961" w:rsidRPr="000B34A3" w:rsidRDefault="00642961" w:rsidP="008C226F">
      <w:pPr>
        <w:numPr>
          <w:ilvl w:val="0"/>
          <w:numId w:val="1"/>
        </w:numPr>
        <w:spacing w:after="120"/>
        <w:ind w:left="470" w:right="-170" w:hanging="357"/>
        <w:jc w:val="both"/>
        <w:rPr>
          <w:sz w:val="22"/>
          <w:szCs w:val="22"/>
        </w:rPr>
      </w:pPr>
      <w:r w:rsidRPr="000B34A3">
        <w:rPr>
          <w:sz w:val="22"/>
          <w:szCs w:val="22"/>
        </w:rPr>
        <w:t>Lawyers</w:t>
      </w:r>
      <w:r w:rsidR="005E0090" w:rsidRPr="000B34A3">
        <w:rPr>
          <w:sz w:val="22"/>
          <w:szCs w:val="22"/>
        </w:rPr>
        <w:t>;</w:t>
      </w:r>
    </w:p>
    <w:p w:rsidR="00642961" w:rsidRPr="000B34A3" w:rsidRDefault="00642961" w:rsidP="008C226F">
      <w:pPr>
        <w:numPr>
          <w:ilvl w:val="0"/>
          <w:numId w:val="1"/>
        </w:numPr>
        <w:spacing w:after="120"/>
        <w:ind w:left="470" w:right="-170" w:hanging="357"/>
        <w:jc w:val="both"/>
        <w:rPr>
          <w:sz w:val="22"/>
          <w:szCs w:val="22"/>
        </w:rPr>
      </w:pPr>
      <w:r w:rsidRPr="000B34A3">
        <w:rPr>
          <w:sz w:val="22"/>
          <w:szCs w:val="22"/>
        </w:rPr>
        <w:t>A combination of these two</w:t>
      </w:r>
      <w:r w:rsidR="005E0090" w:rsidRPr="000B34A3">
        <w:rPr>
          <w:sz w:val="22"/>
          <w:szCs w:val="22"/>
        </w:rPr>
        <w:t>.</w:t>
      </w:r>
    </w:p>
    <w:p w:rsidR="00642961" w:rsidRDefault="00554181" w:rsidP="000B34A3">
      <w:pPr>
        <w:spacing w:after="120"/>
        <w:ind w:left="-170" w:right="-170"/>
        <w:jc w:val="both"/>
        <w:rPr>
          <w:sz w:val="22"/>
          <w:szCs w:val="22"/>
        </w:rPr>
      </w:pPr>
      <w:r w:rsidRPr="00722C23">
        <w:rPr>
          <w:sz w:val="22"/>
          <w:szCs w:val="22"/>
        </w:rPr>
        <w:t>Some cases will simply not be suitable for risk sharing.  Remember too, that third parties who offer to fund you will normally expect to share the rewards.</w:t>
      </w:r>
    </w:p>
    <w:p w:rsidR="00505011" w:rsidRPr="00505011" w:rsidRDefault="00505011" w:rsidP="000B34A3">
      <w:pPr>
        <w:keepNext/>
        <w:spacing w:after="120"/>
        <w:ind w:left="-170" w:right="-170"/>
        <w:jc w:val="both"/>
        <w:rPr>
          <w:b/>
          <w:sz w:val="22"/>
          <w:szCs w:val="22"/>
        </w:rPr>
      </w:pPr>
      <w:r w:rsidRPr="00505011">
        <w:rPr>
          <w:b/>
          <w:sz w:val="22"/>
          <w:szCs w:val="22"/>
        </w:rPr>
        <w:t>Third party funding</w:t>
      </w:r>
    </w:p>
    <w:p w:rsidR="00505011" w:rsidRDefault="00505011" w:rsidP="000B34A3">
      <w:pPr>
        <w:spacing w:after="120"/>
        <w:ind w:left="-170" w:right="-170"/>
        <w:jc w:val="both"/>
        <w:rPr>
          <w:sz w:val="22"/>
          <w:szCs w:val="22"/>
        </w:rPr>
      </w:pPr>
      <w:r w:rsidRPr="00505011">
        <w:rPr>
          <w:sz w:val="22"/>
          <w:szCs w:val="22"/>
        </w:rPr>
        <w:t>Generally speaking</w:t>
      </w:r>
      <w:r>
        <w:rPr>
          <w:sz w:val="22"/>
          <w:szCs w:val="22"/>
        </w:rPr>
        <w:t>, any third parties who may be prepared to help you to fund your case will not do so retrospectively. It will be necessary to present them with details of the case and ask for and obtain their express approval before they will provide any contribution. Therefore it is in your best interests to do this as soon as possible.</w:t>
      </w:r>
    </w:p>
    <w:p w:rsidR="0025341F" w:rsidRDefault="0025341F" w:rsidP="000B34A3">
      <w:pPr>
        <w:spacing w:after="120"/>
        <w:ind w:left="-170" w:right="-170"/>
        <w:jc w:val="both"/>
        <w:rPr>
          <w:sz w:val="22"/>
          <w:szCs w:val="22"/>
        </w:rPr>
      </w:pPr>
      <w:r>
        <w:rPr>
          <w:sz w:val="22"/>
          <w:szCs w:val="22"/>
        </w:rPr>
        <w:lastRenderedPageBreak/>
        <w:t xml:space="preserve">In higher value </w:t>
      </w:r>
      <w:r w:rsidR="007A7ACF">
        <w:rPr>
          <w:sz w:val="22"/>
          <w:szCs w:val="22"/>
        </w:rPr>
        <w:t xml:space="preserve">litigation </w:t>
      </w:r>
      <w:r>
        <w:rPr>
          <w:sz w:val="22"/>
          <w:szCs w:val="22"/>
        </w:rPr>
        <w:t>cases it is possible to obtain funding from financial institutions set up specifically for this purpose. In return, the funders will want to acquire a significant percentage of the value of the claim. Please let us know if this might be of interest to you.</w:t>
      </w:r>
    </w:p>
    <w:p w:rsidR="00554181" w:rsidRPr="00722C23" w:rsidRDefault="00554181" w:rsidP="000B34A3">
      <w:pPr>
        <w:keepNext/>
        <w:spacing w:after="120"/>
        <w:ind w:left="-170" w:right="-170"/>
        <w:jc w:val="both"/>
        <w:rPr>
          <w:b/>
        </w:rPr>
      </w:pPr>
      <w:r w:rsidRPr="00722C23">
        <w:rPr>
          <w:b/>
        </w:rPr>
        <w:t>Risk sharing with legal expenses insurers</w:t>
      </w:r>
    </w:p>
    <w:p w:rsidR="00554181" w:rsidRPr="00722C23" w:rsidRDefault="00554181" w:rsidP="000B34A3">
      <w:pPr>
        <w:keepNext/>
        <w:spacing w:after="120"/>
        <w:ind w:left="-170" w:right="-170"/>
        <w:jc w:val="both"/>
        <w:rPr>
          <w:b/>
          <w:i/>
          <w:sz w:val="22"/>
          <w:szCs w:val="22"/>
        </w:rPr>
      </w:pPr>
      <w:r w:rsidRPr="00722C23">
        <w:rPr>
          <w:b/>
          <w:i/>
          <w:sz w:val="22"/>
          <w:szCs w:val="22"/>
        </w:rPr>
        <w:t>“Before the Event Policies”</w:t>
      </w:r>
    </w:p>
    <w:p w:rsidR="00554181" w:rsidRPr="00722C23" w:rsidRDefault="003301EA" w:rsidP="000B34A3">
      <w:pPr>
        <w:spacing w:after="120"/>
        <w:ind w:left="-170" w:right="-170"/>
        <w:jc w:val="both"/>
        <w:rPr>
          <w:b/>
          <w:sz w:val="22"/>
          <w:szCs w:val="22"/>
        </w:rPr>
      </w:pPr>
      <w:r w:rsidRPr="00722C23">
        <w:rPr>
          <w:sz w:val="22"/>
          <w:szCs w:val="22"/>
        </w:rPr>
        <w:t xml:space="preserve">These are legal expense insurance policies which </w:t>
      </w:r>
      <w:r w:rsidR="008D11D5">
        <w:rPr>
          <w:sz w:val="22"/>
          <w:szCs w:val="22"/>
        </w:rPr>
        <w:t>have</w:t>
      </w:r>
      <w:r w:rsidR="008D11D5" w:rsidRPr="00722C23">
        <w:rPr>
          <w:sz w:val="22"/>
          <w:szCs w:val="22"/>
        </w:rPr>
        <w:t xml:space="preserve"> </w:t>
      </w:r>
      <w:r w:rsidRPr="00722C23">
        <w:rPr>
          <w:sz w:val="22"/>
          <w:szCs w:val="22"/>
        </w:rPr>
        <w:t>be</w:t>
      </w:r>
      <w:r w:rsidR="008D11D5">
        <w:rPr>
          <w:sz w:val="22"/>
          <w:szCs w:val="22"/>
        </w:rPr>
        <w:t>en</w:t>
      </w:r>
      <w:r w:rsidRPr="00722C23">
        <w:rPr>
          <w:sz w:val="22"/>
          <w:szCs w:val="22"/>
        </w:rPr>
        <w:t xml:space="preserve"> taken out, usually with an annual premium, to provide cover </w:t>
      </w:r>
      <w:r w:rsidR="00505011">
        <w:rPr>
          <w:sz w:val="22"/>
          <w:szCs w:val="22"/>
        </w:rPr>
        <w:t>to fund the</w:t>
      </w:r>
      <w:r w:rsidR="008D11D5">
        <w:rPr>
          <w:sz w:val="22"/>
          <w:szCs w:val="22"/>
        </w:rPr>
        <w:t xml:space="preserve"> legal</w:t>
      </w:r>
      <w:r w:rsidR="00505011">
        <w:rPr>
          <w:sz w:val="22"/>
          <w:szCs w:val="22"/>
        </w:rPr>
        <w:t xml:space="preserve"> costs </w:t>
      </w:r>
      <w:r w:rsidR="0025341F">
        <w:rPr>
          <w:sz w:val="22"/>
          <w:szCs w:val="22"/>
        </w:rPr>
        <w:t xml:space="preserve">of </w:t>
      </w:r>
      <w:r w:rsidR="008D11D5">
        <w:rPr>
          <w:sz w:val="22"/>
          <w:szCs w:val="22"/>
        </w:rPr>
        <w:t xml:space="preserve">resolving </w:t>
      </w:r>
      <w:r w:rsidR="00505011">
        <w:rPr>
          <w:sz w:val="22"/>
          <w:szCs w:val="22"/>
        </w:rPr>
        <w:t>(and sometimes the liability incurred by)</w:t>
      </w:r>
      <w:r w:rsidR="00505011" w:rsidRPr="00722C23">
        <w:rPr>
          <w:sz w:val="22"/>
          <w:szCs w:val="22"/>
        </w:rPr>
        <w:t xml:space="preserve"> </w:t>
      </w:r>
      <w:r w:rsidRPr="00722C23">
        <w:rPr>
          <w:sz w:val="22"/>
          <w:szCs w:val="22"/>
        </w:rPr>
        <w:t xml:space="preserve">a possible future legal problem.  Private individuals often have </w:t>
      </w:r>
      <w:r w:rsidR="008D11D5">
        <w:rPr>
          <w:sz w:val="22"/>
          <w:szCs w:val="22"/>
        </w:rPr>
        <w:t>such cover;</w:t>
      </w:r>
      <w:r w:rsidRPr="00722C23">
        <w:rPr>
          <w:sz w:val="22"/>
          <w:szCs w:val="22"/>
        </w:rPr>
        <w:t xml:space="preserve"> for example, as an “add-on” to a ho</w:t>
      </w:r>
      <w:r w:rsidR="00505011">
        <w:rPr>
          <w:sz w:val="22"/>
          <w:szCs w:val="22"/>
        </w:rPr>
        <w:t>usehold</w:t>
      </w:r>
      <w:r w:rsidRPr="00722C23">
        <w:rPr>
          <w:sz w:val="22"/>
          <w:szCs w:val="22"/>
        </w:rPr>
        <w:t xml:space="preserve"> contents or car insurance policy.  Increasingly, </w:t>
      </w:r>
      <w:r w:rsidR="00A40A13">
        <w:rPr>
          <w:sz w:val="22"/>
          <w:szCs w:val="22"/>
        </w:rPr>
        <w:t>businesses</w:t>
      </w:r>
      <w:r w:rsidR="00A40A13" w:rsidRPr="00722C23">
        <w:rPr>
          <w:sz w:val="22"/>
          <w:szCs w:val="22"/>
        </w:rPr>
        <w:t xml:space="preserve"> </w:t>
      </w:r>
      <w:r w:rsidRPr="00722C23">
        <w:rPr>
          <w:sz w:val="22"/>
          <w:szCs w:val="22"/>
        </w:rPr>
        <w:t xml:space="preserve">are encouraged by their brokers to add legal expenses insurance </w:t>
      </w:r>
      <w:r w:rsidR="008D11D5">
        <w:rPr>
          <w:sz w:val="22"/>
          <w:szCs w:val="22"/>
        </w:rPr>
        <w:t xml:space="preserve">cover </w:t>
      </w:r>
      <w:r w:rsidRPr="00722C23">
        <w:rPr>
          <w:sz w:val="22"/>
          <w:szCs w:val="22"/>
        </w:rPr>
        <w:t xml:space="preserve">to their normal commercial </w:t>
      </w:r>
      <w:r w:rsidR="0025341F">
        <w:rPr>
          <w:sz w:val="22"/>
          <w:szCs w:val="22"/>
        </w:rPr>
        <w:t xml:space="preserve">insurance </w:t>
      </w:r>
      <w:r w:rsidRPr="00722C23">
        <w:rPr>
          <w:sz w:val="22"/>
          <w:szCs w:val="22"/>
        </w:rPr>
        <w:t>policy.  We should warn you that they</w:t>
      </w:r>
      <w:r w:rsidR="008D11D5">
        <w:rPr>
          <w:sz w:val="22"/>
          <w:szCs w:val="22"/>
        </w:rPr>
        <w:t xml:space="preserve"> policies</w:t>
      </w:r>
      <w:r w:rsidRPr="00722C23">
        <w:rPr>
          <w:sz w:val="22"/>
          <w:szCs w:val="22"/>
        </w:rPr>
        <w:t xml:space="preserve"> are frequently very limited in what they cover</w:t>
      </w:r>
      <w:r w:rsidR="000A4905">
        <w:rPr>
          <w:sz w:val="22"/>
          <w:szCs w:val="22"/>
        </w:rPr>
        <w:t>, m</w:t>
      </w:r>
      <w:r w:rsidRPr="00722C23">
        <w:rPr>
          <w:sz w:val="22"/>
          <w:szCs w:val="22"/>
        </w:rPr>
        <w:t xml:space="preserve">ay include restrictions on your freedom of choice of lawyer and may not provide full cover for our hourly rates and other charges. </w:t>
      </w:r>
      <w:r w:rsidR="007A7ACF">
        <w:rPr>
          <w:sz w:val="22"/>
          <w:szCs w:val="22"/>
        </w:rPr>
        <w:t>These policies commonly cover the costs of employment advice.</w:t>
      </w:r>
      <w:r w:rsidRPr="00722C23">
        <w:rPr>
          <w:sz w:val="22"/>
          <w:szCs w:val="22"/>
        </w:rPr>
        <w:t xml:space="preserve"> </w:t>
      </w:r>
      <w:r w:rsidRPr="00722C23">
        <w:rPr>
          <w:b/>
          <w:sz w:val="22"/>
          <w:szCs w:val="22"/>
        </w:rPr>
        <w:t xml:space="preserve">If you think that you may have any such policy, </w:t>
      </w:r>
      <w:r w:rsidR="0025341F">
        <w:rPr>
          <w:b/>
          <w:sz w:val="22"/>
          <w:szCs w:val="22"/>
        </w:rPr>
        <w:t xml:space="preserve">contact your broker to notify the claim </w:t>
      </w:r>
      <w:r w:rsidR="004173C1">
        <w:rPr>
          <w:b/>
          <w:sz w:val="22"/>
          <w:szCs w:val="22"/>
        </w:rPr>
        <w:t xml:space="preserve">and let us know </w:t>
      </w:r>
      <w:r w:rsidR="0025341F">
        <w:rPr>
          <w:b/>
          <w:sz w:val="22"/>
          <w:szCs w:val="22"/>
        </w:rPr>
        <w:t>as soon as possible</w:t>
      </w:r>
      <w:r w:rsidRPr="00722C23">
        <w:rPr>
          <w:b/>
          <w:sz w:val="22"/>
          <w:szCs w:val="22"/>
        </w:rPr>
        <w:t>.</w:t>
      </w:r>
      <w:r w:rsidR="000A4905">
        <w:rPr>
          <w:b/>
          <w:sz w:val="22"/>
          <w:szCs w:val="22"/>
        </w:rPr>
        <w:t xml:space="preserve"> The cover will not take effect until you have submitted</w:t>
      </w:r>
      <w:r w:rsidR="0025341F">
        <w:rPr>
          <w:b/>
          <w:sz w:val="22"/>
          <w:szCs w:val="22"/>
        </w:rPr>
        <w:t>, and they have approved</w:t>
      </w:r>
      <w:r w:rsidR="008D11D5">
        <w:rPr>
          <w:b/>
          <w:sz w:val="22"/>
          <w:szCs w:val="22"/>
        </w:rPr>
        <w:t>,</w:t>
      </w:r>
      <w:r w:rsidR="0025341F">
        <w:rPr>
          <w:b/>
          <w:sz w:val="22"/>
          <w:szCs w:val="22"/>
        </w:rPr>
        <w:t xml:space="preserve"> the</w:t>
      </w:r>
      <w:r w:rsidR="000A4905">
        <w:rPr>
          <w:b/>
          <w:sz w:val="22"/>
          <w:szCs w:val="22"/>
        </w:rPr>
        <w:t xml:space="preserve"> claim.</w:t>
      </w:r>
    </w:p>
    <w:p w:rsidR="003301EA" w:rsidRPr="00722C23" w:rsidRDefault="000A4905" w:rsidP="000B34A3">
      <w:pPr>
        <w:keepNext/>
        <w:spacing w:after="120"/>
        <w:ind w:left="-170" w:right="-170"/>
        <w:jc w:val="both"/>
        <w:rPr>
          <w:b/>
          <w:i/>
          <w:sz w:val="22"/>
          <w:szCs w:val="22"/>
        </w:rPr>
      </w:pPr>
      <w:r>
        <w:rPr>
          <w:b/>
          <w:i/>
          <w:sz w:val="22"/>
          <w:szCs w:val="22"/>
        </w:rPr>
        <w:t>“After</w:t>
      </w:r>
      <w:r w:rsidR="003301EA" w:rsidRPr="00722C23">
        <w:rPr>
          <w:b/>
          <w:i/>
          <w:sz w:val="22"/>
          <w:szCs w:val="22"/>
        </w:rPr>
        <w:t xml:space="preserve"> the Event Policies”</w:t>
      </w:r>
    </w:p>
    <w:p w:rsidR="003301EA" w:rsidRPr="00722C23" w:rsidRDefault="00BC2E2A" w:rsidP="000B34A3">
      <w:pPr>
        <w:spacing w:after="120"/>
        <w:ind w:left="-170" w:right="-170"/>
        <w:jc w:val="both"/>
        <w:rPr>
          <w:sz w:val="22"/>
          <w:szCs w:val="22"/>
        </w:rPr>
      </w:pPr>
      <w:r w:rsidRPr="00722C23">
        <w:rPr>
          <w:sz w:val="22"/>
          <w:szCs w:val="22"/>
        </w:rPr>
        <w:t xml:space="preserve">These are policies </w:t>
      </w:r>
      <w:r w:rsidR="00D515DB">
        <w:rPr>
          <w:sz w:val="22"/>
          <w:szCs w:val="22"/>
        </w:rPr>
        <w:t xml:space="preserve">which </w:t>
      </w:r>
      <w:r w:rsidR="008D11D5">
        <w:rPr>
          <w:sz w:val="22"/>
          <w:szCs w:val="22"/>
        </w:rPr>
        <w:t>can be</w:t>
      </w:r>
      <w:r w:rsidR="00D515DB">
        <w:rPr>
          <w:sz w:val="22"/>
          <w:szCs w:val="22"/>
        </w:rPr>
        <w:t xml:space="preserve"> purchased after</w:t>
      </w:r>
      <w:r w:rsidR="00D515DB" w:rsidRPr="00722C23">
        <w:rPr>
          <w:sz w:val="22"/>
          <w:szCs w:val="22"/>
        </w:rPr>
        <w:t xml:space="preserve"> the dispute has arisen </w:t>
      </w:r>
      <w:r w:rsidRPr="00722C23">
        <w:rPr>
          <w:sz w:val="22"/>
          <w:szCs w:val="22"/>
        </w:rPr>
        <w:t xml:space="preserve">which help to cover the </w:t>
      </w:r>
      <w:r w:rsidR="008D11D5">
        <w:rPr>
          <w:sz w:val="22"/>
          <w:szCs w:val="22"/>
        </w:rPr>
        <w:t xml:space="preserve">potential </w:t>
      </w:r>
      <w:r w:rsidRPr="00722C23">
        <w:rPr>
          <w:sz w:val="22"/>
          <w:szCs w:val="22"/>
        </w:rPr>
        <w:t>cost</w:t>
      </w:r>
      <w:r w:rsidR="008D11D5">
        <w:rPr>
          <w:sz w:val="22"/>
          <w:szCs w:val="22"/>
        </w:rPr>
        <w:t>s</w:t>
      </w:r>
      <w:r w:rsidRPr="00722C23">
        <w:rPr>
          <w:sz w:val="22"/>
          <w:szCs w:val="22"/>
        </w:rPr>
        <w:t xml:space="preserve"> of litigation.  </w:t>
      </w:r>
      <w:r w:rsidR="007A7ACF">
        <w:rPr>
          <w:sz w:val="22"/>
          <w:szCs w:val="22"/>
        </w:rPr>
        <w:t xml:space="preserve">They are not usually available for employment cases. </w:t>
      </w:r>
      <w:r w:rsidRPr="00722C23">
        <w:rPr>
          <w:sz w:val="22"/>
          <w:szCs w:val="22"/>
        </w:rPr>
        <w:t xml:space="preserve">If the premium is affordable, then </w:t>
      </w:r>
      <w:r w:rsidR="00D515DB">
        <w:rPr>
          <w:sz w:val="22"/>
          <w:szCs w:val="22"/>
        </w:rPr>
        <w:t>they</w:t>
      </w:r>
      <w:r w:rsidRPr="00722C23">
        <w:rPr>
          <w:sz w:val="22"/>
          <w:szCs w:val="22"/>
        </w:rPr>
        <w:t xml:space="preserve"> can provide some peace of mind against the possibility of </w:t>
      </w:r>
      <w:r w:rsidR="00505011">
        <w:rPr>
          <w:sz w:val="22"/>
          <w:szCs w:val="22"/>
        </w:rPr>
        <w:t>having to pay all the</w:t>
      </w:r>
      <w:r w:rsidRPr="00722C23">
        <w:rPr>
          <w:sz w:val="22"/>
          <w:szCs w:val="22"/>
        </w:rPr>
        <w:t xml:space="preserve"> litigation costs if you lose the case.</w:t>
      </w:r>
    </w:p>
    <w:p w:rsidR="00BC2E2A" w:rsidRPr="00722C23" w:rsidRDefault="007803C3" w:rsidP="000B34A3">
      <w:pPr>
        <w:spacing w:after="120"/>
        <w:ind w:left="-170" w:right="-170"/>
        <w:jc w:val="both"/>
        <w:rPr>
          <w:sz w:val="22"/>
          <w:szCs w:val="22"/>
        </w:rPr>
      </w:pPr>
      <w:r w:rsidRPr="00722C23">
        <w:rPr>
          <w:sz w:val="22"/>
          <w:szCs w:val="22"/>
        </w:rPr>
        <w:t>Insurance cover can be purchased to protect against</w:t>
      </w:r>
      <w:r w:rsidR="00505011">
        <w:rPr>
          <w:sz w:val="22"/>
          <w:szCs w:val="22"/>
        </w:rPr>
        <w:t xml:space="preserve"> potential liability for</w:t>
      </w:r>
      <w:r w:rsidRPr="00722C23">
        <w:rPr>
          <w:sz w:val="22"/>
          <w:szCs w:val="22"/>
        </w:rPr>
        <w:t>:</w:t>
      </w:r>
    </w:p>
    <w:p w:rsidR="007803C3" w:rsidRPr="00722C23" w:rsidRDefault="007803C3" w:rsidP="000B34A3">
      <w:pPr>
        <w:numPr>
          <w:ilvl w:val="0"/>
          <w:numId w:val="1"/>
        </w:numPr>
        <w:tabs>
          <w:tab w:val="clear" w:pos="720"/>
          <w:tab w:val="num" w:pos="360"/>
        </w:tabs>
        <w:spacing w:after="120"/>
        <w:ind w:left="-170" w:right="-170" w:firstLine="0"/>
        <w:jc w:val="both"/>
        <w:rPr>
          <w:sz w:val="22"/>
          <w:szCs w:val="22"/>
        </w:rPr>
      </w:pPr>
      <w:r w:rsidRPr="00722C23">
        <w:rPr>
          <w:sz w:val="22"/>
          <w:szCs w:val="22"/>
        </w:rPr>
        <w:t>Your opponent</w:t>
      </w:r>
      <w:r w:rsidR="000A4905">
        <w:rPr>
          <w:sz w:val="22"/>
          <w:szCs w:val="22"/>
        </w:rPr>
        <w:t>’</w:t>
      </w:r>
      <w:r w:rsidRPr="00722C23">
        <w:rPr>
          <w:sz w:val="22"/>
          <w:szCs w:val="22"/>
        </w:rPr>
        <w:t>s legal charges</w:t>
      </w:r>
      <w:r w:rsidR="00505011">
        <w:rPr>
          <w:sz w:val="22"/>
          <w:szCs w:val="22"/>
        </w:rPr>
        <w:t xml:space="preserve"> including disbursements;</w:t>
      </w:r>
    </w:p>
    <w:p w:rsidR="007803C3" w:rsidRPr="00722C23" w:rsidRDefault="007803C3" w:rsidP="000B34A3">
      <w:pPr>
        <w:numPr>
          <w:ilvl w:val="0"/>
          <w:numId w:val="1"/>
        </w:numPr>
        <w:tabs>
          <w:tab w:val="clear" w:pos="720"/>
          <w:tab w:val="num" w:pos="360"/>
        </w:tabs>
        <w:spacing w:after="120"/>
        <w:ind w:left="-170" w:right="-170" w:firstLine="0"/>
        <w:jc w:val="both"/>
        <w:rPr>
          <w:sz w:val="22"/>
          <w:szCs w:val="22"/>
        </w:rPr>
      </w:pPr>
      <w:r w:rsidRPr="00722C23">
        <w:rPr>
          <w:sz w:val="22"/>
          <w:szCs w:val="22"/>
        </w:rPr>
        <w:t>Your own “disbursements”</w:t>
      </w:r>
      <w:r w:rsidR="00D515DB">
        <w:rPr>
          <w:sz w:val="22"/>
          <w:szCs w:val="22"/>
        </w:rPr>
        <w:t xml:space="preserve"> i.e.</w:t>
      </w:r>
      <w:r w:rsidRPr="00722C23">
        <w:rPr>
          <w:sz w:val="22"/>
          <w:szCs w:val="22"/>
        </w:rPr>
        <w:t xml:space="preserve"> expenses such as Court fees</w:t>
      </w:r>
      <w:r w:rsidR="000A4905">
        <w:rPr>
          <w:sz w:val="22"/>
          <w:szCs w:val="22"/>
        </w:rPr>
        <w:t>,</w:t>
      </w:r>
      <w:r w:rsidRPr="00722C23">
        <w:rPr>
          <w:sz w:val="22"/>
          <w:szCs w:val="22"/>
        </w:rPr>
        <w:t xml:space="preserve"> experts fees</w:t>
      </w:r>
      <w:r w:rsidR="000A4905">
        <w:rPr>
          <w:sz w:val="22"/>
          <w:szCs w:val="22"/>
        </w:rPr>
        <w:t xml:space="preserve"> and barristers fees</w:t>
      </w:r>
      <w:r w:rsidR="00505011">
        <w:rPr>
          <w:sz w:val="22"/>
          <w:szCs w:val="22"/>
        </w:rPr>
        <w:t>;</w:t>
      </w:r>
    </w:p>
    <w:p w:rsidR="007803C3" w:rsidRPr="00722C23" w:rsidRDefault="000A4905" w:rsidP="000B34A3">
      <w:pPr>
        <w:numPr>
          <w:ilvl w:val="0"/>
          <w:numId w:val="1"/>
        </w:numPr>
        <w:tabs>
          <w:tab w:val="clear" w:pos="720"/>
          <w:tab w:val="num" w:pos="360"/>
        </w:tabs>
        <w:spacing w:after="120"/>
        <w:ind w:left="-170" w:right="-170" w:firstLine="0"/>
        <w:jc w:val="both"/>
        <w:rPr>
          <w:sz w:val="22"/>
          <w:szCs w:val="22"/>
        </w:rPr>
      </w:pPr>
      <w:r>
        <w:rPr>
          <w:sz w:val="22"/>
          <w:szCs w:val="22"/>
        </w:rPr>
        <w:t xml:space="preserve">Your own legal charges; </w:t>
      </w:r>
      <w:r w:rsidR="007803C3" w:rsidRPr="00722C23">
        <w:rPr>
          <w:sz w:val="22"/>
          <w:szCs w:val="22"/>
        </w:rPr>
        <w:t>(</w:t>
      </w:r>
      <w:r w:rsidR="00D515DB">
        <w:rPr>
          <w:sz w:val="22"/>
          <w:szCs w:val="22"/>
        </w:rPr>
        <w:t xml:space="preserve">though </w:t>
      </w:r>
      <w:r w:rsidR="007803C3" w:rsidRPr="00722C23">
        <w:rPr>
          <w:sz w:val="22"/>
          <w:szCs w:val="22"/>
        </w:rPr>
        <w:t>insurers are increasingly reluctant to provide this cover).</w:t>
      </w:r>
    </w:p>
    <w:p w:rsidR="007803C3" w:rsidRDefault="007803C3" w:rsidP="000B34A3">
      <w:pPr>
        <w:spacing w:after="120"/>
        <w:ind w:left="-170" w:right="-170"/>
        <w:jc w:val="both"/>
        <w:rPr>
          <w:sz w:val="22"/>
          <w:szCs w:val="22"/>
        </w:rPr>
      </w:pPr>
      <w:r w:rsidRPr="00722C23">
        <w:rPr>
          <w:sz w:val="22"/>
          <w:szCs w:val="22"/>
        </w:rPr>
        <w:t>The usual basis of such policies is that payment is made only if you fail completely with your case.</w:t>
      </w:r>
    </w:p>
    <w:p w:rsidR="007803C3" w:rsidRDefault="00C01447" w:rsidP="000B34A3">
      <w:pPr>
        <w:keepNext/>
        <w:spacing w:after="120"/>
        <w:ind w:left="-170" w:right="-170"/>
        <w:jc w:val="both"/>
        <w:rPr>
          <w:b/>
        </w:rPr>
      </w:pPr>
      <w:r w:rsidRPr="00722C23">
        <w:rPr>
          <w:b/>
        </w:rPr>
        <w:t>Meeting the Premium</w:t>
      </w:r>
    </w:p>
    <w:p w:rsidR="00C01447" w:rsidRPr="00722C23" w:rsidRDefault="00C01447" w:rsidP="000B34A3">
      <w:pPr>
        <w:spacing w:after="120"/>
        <w:ind w:left="-170" w:right="-170"/>
        <w:jc w:val="both"/>
        <w:rPr>
          <w:sz w:val="22"/>
          <w:szCs w:val="22"/>
        </w:rPr>
      </w:pPr>
      <w:r w:rsidRPr="00722C23">
        <w:rPr>
          <w:sz w:val="22"/>
          <w:szCs w:val="22"/>
        </w:rPr>
        <w:t>The problem with all insurance is paying the premium.  Points to consider are:</w:t>
      </w:r>
    </w:p>
    <w:p w:rsidR="00C01447" w:rsidRPr="00722C23" w:rsidRDefault="00C01447" w:rsidP="000B34A3">
      <w:pPr>
        <w:numPr>
          <w:ilvl w:val="0"/>
          <w:numId w:val="1"/>
        </w:numPr>
        <w:tabs>
          <w:tab w:val="clear" w:pos="720"/>
          <w:tab w:val="num" w:pos="360"/>
        </w:tabs>
        <w:spacing w:after="120"/>
        <w:ind w:left="-170" w:right="-170" w:firstLine="0"/>
        <w:jc w:val="both"/>
        <w:rPr>
          <w:sz w:val="22"/>
          <w:szCs w:val="22"/>
        </w:rPr>
      </w:pPr>
      <w:r w:rsidRPr="00722C23">
        <w:rPr>
          <w:sz w:val="22"/>
          <w:szCs w:val="22"/>
        </w:rPr>
        <w:lastRenderedPageBreak/>
        <w:t>The money has to be found for the premium.  Sometimes</w:t>
      </w:r>
      <w:r w:rsidR="00505011">
        <w:rPr>
          <w:sz w:val="22"/>
          <w:szCs w:val="22"/>
        </w:rPr>
        <w:t>,</w:t>
      </w:r>
      <w:r w:rsidRPr="00722C23">
        <w:rPr>
          <w:sz w:val="22"/>
          <w:szCs w:val="22"/>
        </w:rPr>
        <w:t xml:space="preserve"> </w:t>
      </w:r>
      <w:r w:rsidR="00505011" w:rsidRPr="00722C23">
        <w:rPr>
          <w:sz w:val="22"/>
          <w:szCs w:val="22"/>
        </w:rPr>
        <w:t xml:space="preserve">for an </w:t>
      </w:r>
      <w:r w:rsidR="00505011">
        <w:rPr>
          <w:sz w:val="22"/>
          <w:szCs w:val="22"/>
        </w:rPr>
        <w:t>increase in the</w:t>
      </w:r>
      <w:r w:rsidR="00505011" w:rsidRPr="00722C23">
        <w:rPr>
          <w:sz w:val="22"/>
          <w:szCs w:val="22"/>
        </w:rPr>
        <w:t xml:space="preserve"> amount of </w:t>
      </w:r>
      <w:r w:rsidR="00505011">
        <w:rPr>
          <w:sz w:val="22"/>
          <w:szCs w:val="22"/>
        </w:rPr>
        <w:t xml:space="preserve">the </w:t>
      </w:r>
      <w:r w:rsidR="00505011" w:rsidRPr="00722C23">
        <w:rPr>
          <w:sz w:val="22"/>
          <w:szCs w:val="22"/>
        </w:rPr>
        <w:t>premium</w:t>
      </w:r>
      <w:r w:rsidR="00505011">
        <w:rPr>
          <w:sz w:val="22"/>
          <w:szCs w:val="22"/>
        </w:rPr>
        <w:t>,</w:t>
      </w:r>
      <w:r w:rsidR="00505011" w:rsidRPr="00722C23">
        <w:rPr>
          <w:sz w:val="22"/>
          <w:szCs w:val="22"/>
        </w:rPr>
        <w:t xml:space="preserve"> </w:t>
      </w:r>
      <w:r w:rsidRPr="00722C23">
        <w:rPr>
          <w:sz w:val="22"/>
          <w:szCs w:val="22"/>
        </w:rPr>
        <w:t>the Insurer will agree to defer payment until the end of the case</w:t>
      </w:r>
      <w:r w:rsidR="00D515DB">
        <w:rPr>
          <w:sz w:val="22"/>
          <w:szCs w:val="22"/>
        </w:rPr>
        <w:t xml:space="preserve"> </w:t>
      </w:r>
      <w:r w:rsidR="008D11D5">
        <w:rPr>
          <w:sz w:val="22"/>
          <w:szCs w:val="22"/>
        </w:rPr>
        <w:t xml:space="preserve">or allow you to </w:t>
      </w:r>
      <w:r w:rsidR="00D515DB">
        <w:rPr>
          <w:sz w:val="22"/>
          <w:szCs w:val="22"/>
        </w:rPr>
        <w:t xml:space="preserve">insure against the risk that </w:t>
      </w:r>
      <w:r w:rsidR="008D11D5">
        <w:rPr>
          <w:sz w:val="22"/>
          <w:szCs w:val="22"/>
        </w:rPr>
        <w:t>you will not be able to pay it</w:t>
      </w:r>
      <w:r w:rsidR="004173C1">
        <w:rPr>
          <w:sz w:val="22"/>
          <w:szCs w:val="22"/>
        </w:rPr>
        <w:t xml:space="preserve"> by paying an increased premium</w:t>
      </w:r>
      <w:r w:rsidR="00D515DB">
        <w:rPr>
          <w:sz w:val="22"/>
          <w:szCs w:val="22"/>
        </w:rPr>
        <w:t>.</w:t>
      </w:r>
    </w:p>
    <w:p w:rsidR="00C01447" w:rsidRPr="00722C23" w:rsidRDefault="008D11D5" w:rsidP="000B34A3">
      <w:pPr>
        <w:numPr>
          <w:ilvl w:val="0"/>
          <w:numId w:val="1"/>
        </w:numPr>
        <w:tabs>
          <w:tab w:val="clear" w:pos="720"/>
          <w:tab w:val="num" w:pos="360"/>
        </w:tabs>
        <w:spacing w:after="120"/>
        <w:ind w:left="-170" w:right="-170" w:firstLine="0"/>
        <w:jc w:val="both"/>
        <w:rPr>
          <w:sz w:val="22"/>
          <w:szCs w:val="22"/>
        </w:rPr>
      </w:pPr>
      <w:r>
        <w:rPr>
          <w:sz w:val="22"/>
          <w:szCs w:val="22"/>
        </w:rPr>
        <w:t>Until April 2013</w:t>
      </w:r>
      <w:r w:rsidR="004173C1">
        <w:rPr>
          <w:sz w:val="22"/>
          <w:szCs w:val="22"/>
        </w:rPr>
        <w:t>,</w:t>
      </w:r>
      <w:r>
        <w:rPr>
          <w:sz w:val="22"/>
          <w:szCs w:val="22"/>
        </w:rPr>
        <w:t xml:space="preserve"> </w:t>
      </w:r>
      <w:r w:rsidR="004173C1" w:rsidRPr="00722C23">
        <w:rPr>
          <w:sz w:val="22"/>
          <w:szCs w:val="22"/>
        </w:rPr>
        <w:t xml:space="preserve">if you </w:t>
      </w:r>
      <w:r w:rsidR="004173C1">
        <w:rPr>
          <w:sz w:val="22"/>
          <w:szCs w:val="22"/>
        </w:rPr>
        <w:t xml:space="preserve">had won, </w:t>
      </w:r>
      <w:r>
        <w:rPr>
          <w:sz w:val="22"/>
          <w:szCs w:val="22"/>
        </w:rPr>
        <w:t>it was</w:t>
      </w:r>
      <w:r w:rsidR="0062759D" w:rsidRPr="00722C23">
        <w:rPr>
          <w:sz w:val="22"/>
          <w:szCs w:val="22"/>
        </w:rPr>
        <w:t xml:space="preserve"> possible for the Court to order your opponent to repay </w:t>
      </w:r>
      <w:r w:rsidR="004173C1">
        <w:rPr>
          <w:sz w:val="22"/>
          <w:szCs w:val="22"/>
        </w:rPr>
        <w:t xml:space="preserve">to </w:t>
      </w:r>
      <w:r w:rsidR="0062759D" w:rsidRPr="00722C23">
        <w:rPr>
          <w:sz w:val="22"/>
          <w:szCs w:val="22"/>
        </w:rPr>
        <w:t>you th</w:t>
      </w:r>
      <w:r w:rsidR="00505011">
        <w:rPr>
          <w:sz w:val="22"/>
          <w:szCs w:val="22"/>
        </w:rPr>
        <w:t>e basic</w:t>
      </w:r>
      <w:r w:rsidR="0062759D" w:rsidRPr="00722C23">
        <w:rPr>
          <w:sz w:val="22"/>
          <w:szCs w:val="22"/>
        </w:rPr>
        <w:t xml:space="preserve"> premium </w:t>
      </w:r>
      <w:r w:rsidR="004173C1">
        <w:rPr>
          <w:sz w:val="22"/>
          <w:szCs w:val="22"/>
        </w:rPr>
        <w:t>you had paid</w:t>
      </w:r>
      <w:proofErr w:type="gramStart"/>
      <w:r w:rsidR="004173C1">
        <w:rPr>
          <w:sz w:val="22"/>
          <w:szCs w:val="22"/>
        </w:rPr>
        <w:t>,</w:t>
      </w:r>
      <w:r w:rsidR="0062759D" w:rsidRPr="00722C23">
        <w:rPr>
          <w:sz w:val="22"/>
          <w:szCs w:val="22"/>
        </w:rPr>
        <w:t>.</w:t>
      </w:r>
      <w:proofErr w:type="gramEnd"/>
      <w:r w:rsidR="0062759D" w:rsidRPr="00722C23">
        <w:rPr>
          <w:sz w:val="22"/>
          <w:szCs w:val="22"/>
        </w:rPr>
        <w:t xml:space="preserve">  </w:t>
      </w:r>
      <w:r w:rsidR="002A1FAE">
        <w:rPr>
          <w:sz w:val="22"/>
          <w:szCs w:val="22"/>
        </w:rPr>
        <w:t>Since then this has been prohibited.</w:t>
      </w:r>
    </w:p>
    <w:p w:rsidR="0062759D" w:rsidRPr="00722C23" w:rsidRDefault="0062759D" w:rsidP="000B34A3">
      <w:pPr>
        <w:numPr>
          <w:ilvl w:val="0"/>
          <w:numId w:val="1"/>
        </w:numPr>
        <w:tabs>
          <w:tab w:val="clear" w:pos="720"/>
          <w:tab w:val="num" w:pos="360"/>
        </w:tabs>
        <w:spacing w:after="120"/>
        <w:ind w:left="-170" w:right="-170" w:firstLine="0"/>
        <w:jc w:val="both"/>
        <w:rPr>
          <w:sz w:val="22"/>
          <w:szCs w:val="22"/>
        </w:rPr>
      </w:pPr>
      <w:r w:rsidRPr="00722C23">
        <w:rPr>
          <w:sz w:val="22"/>
          <w:szCs w:val="22"/>
        </w:rPr>
        <w:t>Premiums for accident cases are modest.  For other types of litigation, for example, they may be about 20% to 30% of the total legal charges against which you want to protect yourself.</w:t>
      </w:r>
    </w:p>
    <w:p w:rsidR="0062759D" w:rsidRPr="00722C23" w:rsidRDefault="0062759D" w:rsidP="000B34A3">
      <w:pPr>
        <w:numPr>
          <w:ilvl w:val="0"/>
          <w:numId w:val="1"/>
        </w:numPr>
        <w:tabs>
          <w:tab w:val="clear" w:pos="720"/>
          <w:tab w:val="num" w:pos="360"/>
        </w:tabs>
        <w:spacing w:after="120"/>
        <w:ind w:left="-170" w:right="-170" w:firstLine="0"/>
        <w:jc w:val="both"/>
        <w:rPr>
          <w:sz w:val="22"/>
          <w:szCs w:val="22"/>
        </w:rPr>
      </w:pPr>
      <w:r w:rsidRPr="00722C23">
        <w:rPr>
          <w:sz w:val="22"/>
          <w:szCs w:val="22"/>
        </w:rPr>
        <w:t>In substantial commercial litigation, the premiums may be even higher.</w:t>
      </w:r>
      <w:r w:rsidR="00505011">
        <w:rPr>
          <w:sz w:val="22"/>
          <w:szCs w:val="22"/>
        </w:rPr>
        <w:t xml:space="preserve"> Much depends on the prospects of making a successful recovery of monies.</w:t>
      </w:r>
    </w:p>
    <w:p w:rsidR="0062759D" w:rsidRPr="00722C23" w:rsidRDefault="003D13E3" w:rsidP="000B34A3">
      <w:pPr>
        <w:spacing w:after="120"/>
        <w:ind w:left="-170" w:right="-170"/>
        <w:jc w:val="both"/>
        <w:rPr>
          <w:b/>
          <w:sz w:val="22"/>
          <w:szCs w:val="22"/>
        </w:rPr>
      </w:pPr>
      <w:r w:rsidRPr="00722C23">
        <w:rPr>
          <w:b/>
          <w:sz w:val="22"/>
          <w:szCs w:val="22"/>
        </w:rPr>
        <w:t xml:space="preserve">We do not undertake any responsibility to give you “best advice” on these products although we will provide you with a “demands and needs” statement if we do recommend a policy to you.  We will have to charge you at our normal hourly rates for the time spent investigating and advising in respect of </w:t>
      </w:r>
      <w:r w:rsidR="005644F5">
        <w:rPr>
          <w:b/>
          <w:sz w:val="22"/>
          <w:szCs w:val="22"/>
        </w:rPr>
        <w:t>any alternative funding arrangements</w:t>
      </w:r>
      <w:r w:rsidRPr="00722C23">
        <w:rPr>
          <w:b/>
          <w:sz w:val="22"/>
          <w:szCs w:val="22"/>
        </w:rPr>
        <w:t xml:space="preserve"> and those fees would not be recoverable from your opponent if you win your case.</w:t>
      </w:r>
    </w:p>
    <w:p w:rsidR="003D13E3" w:rsidRPr="00722C23" w:rsidRDefault="003D13E3" w:rsidP="000B34A3">
      <w:pPr>
        <w:keepNext/>
        <w:spacing w:after="120"/>
        <w:ind w:left="-170" w:right="-170"/>
        <w:jc w:val="both"/>
        <w:rPr>
          <w:b/>
        </w:rPr>
      </w:pPr>
      <w:r w:rsidRPr="00722C23">
        <w:rPr>
          <w:b/>
        </w:rPr>
        <w:t>Risk sharing with lawyers</w:t>
      </w:r>
    </w:p>
    <w:p w:rsidR="003D13E3" w:rsidRPr="00722C23" w:rsidRDefault="002A1FAE" w:rsidP="000B34A3">
      <w:pPr>
        <w:spacing w:after="120"/>
        <w:ind w:left="-170" w:right="-170"/>
        <w:jc w:val="both"/>
        <w:rPr>
          <w:sz w:val="22"/>
          <w:szCs w:val="22"/>
        </w:rPr>
      </w:pPr>
      <w:r>
        <w:rPr>
          <w:sz w:val="22"/>
          <w:szCs w:val="22"/>
        </w:rPr>
        <w:t>S</w:t>
      </w:r>
      <w:r w:rsidR="00841A60" w:rsidRPr="00722C23">
        <w:rPr>
          <w:sz w:val="22"/>
          <w:szCs w:val="22"/>
        </w:rPr>
        <w:t xml:space="preserve">olicitors </w:t>
      </w:r>
      <w:r>
        <w:rPr>
          <w:sz w:val="22"/>
          <w:szCs w:val="22"/>
        </w:rPr>
        <w:t>are only</w:t>
      </w:r>
      <w:r w:rsidR="00841A60" w:rsidRPr="00722C23">
        <w:rPr>
          <w:sz w:val="22"/>
          <w:szCs w:val="22"/>
        </w:rPr>
        <w:t xml:space="preserve"> permitted by law to offer clients </w:t>
      </w:r>
      <w:r>
        <w:rPr>
          <w:sz w:val="22"/>
          <w:szCs w:val="22"/>
        </w:rPr>
        <w:t>certain types of</w:t>
      </w:r>
      <w:r w:rsidR="00841A60" w:rsidRPr="00722C23">
        <w:rPr>
          <w:sz w:val="22"/>
          <w:szCs w:val="22"/>
        </w:rPr>
        <w:t xml:space="preserve"> arrangement:</w:t>
      </w:r>
    </w:p>
    <w:p w:rsidR="00107B22" w:rsidRPr="000B34A3" w:rsidRDefault="00841A60" w:rsidP="000B34A3">
      <w:pPr>
        <w:numPr>
          <w:ilvl w:val="0"/>
          <w:numId w:val="1"/>
        </w:numPr>
        <w:tabs>
          <w:tab w:val="clear" w:pos="720"/>
          <w:tab w:val="num" w:pos="360"/>
        </w:tabs>
        <w:spacing w:after="120"/>
        <w:ind w:left="-170" w:right="-170" w:firstLine="0"/>
        <w:jc w:val="both"/>
        <w:rPr>
          <w:sz w:val="22"/>
          <w:szCs w:val="22"/>
        </w:rPr>
      </w:pPr>
      <w:r w:rsidRPr="000B34A3">
        <w:rPr>
          <w:b/>
          <w:sz w:val="22"/>
          <w:szCs w:val="22"/>
        </w:rPr>
        <w:t xml:space="preserve">A conditional fee agreement </w:t>
      </w:r>
      <w:r w:rsidR="002A1FAE" w:rsidRPr="000B34A3">
        <w:rPr>
          <w:b/>
          <w:sz w:val="22"/>
          <w:szCs w:val="22"/>
        </w:rPr>
        <w:t>(“CFA”)</w:t>
      </w:r>
      <w:r w:rsidR="002A1FAE" w:rsidRPr="000B34A3">
        <w:rPr>
          <w:sz w:val="22"/>
          <w:szCs w:val="22"/>
        </w:rPr>
        <w:t xml:space="preserve"> </w:t>
      </w:r>
      <w:r w:rsidRPr="000B34A3">
        <w:rPr>
          <w:sz w:val="22"/>
          <w:szCs w:val="22"/>
        </w:rPr>
        <w:t xml:space="preserve">– inaccurately but regularly called “no win – no fee”.  If this is offered, your lawyer makes no charge if the case is lost but you </w:t>
      </w:r>
      <w:r w:rsidR="00D515DB" w:rsidRPr="000B34A3">
        <w:rPr>
          <w:sz w:val="22"/>
          <w:szCs w:val="22"/>
        </w:rPr>
        <w:t xml:space="preserve">may still </w:t>
      </w:r>
      <w:r w:rsidRPr="000B34A3">
        <w:rPr>
          <w:sz w:val="22"/>
          <w:szCs w:val="22"/>
        </w:rPr>
        <w:t>have to pay your</w:t>
      </w:r>
      <w:r w:rsidR="002A1FAE" w:rsidRPr="000B34A3">
        <w:rPr>
          <w:sz w:val="22"/>
          <w:szCs w:val="22"/>
        </w:rPr>
        <w:t xml:space="preserve"> own</w:t>
      </w:r>
      <w:r w:rsidRPr="000B34A3">
        <w:rPr>
          <w:sz w:val="22"/>
          <w:szCs w:val="22"/>
        </w:rPr>
        <w:t xml:space="preserve"> “disbursements” and your opponents’ legal charges.</w:t>
      </w:r>
      <w:r w:rsidR="000A4905" w:rsidRPr="000B34A3">
        <w:rPr>
          <w:sz w:val="22"/>
          <w:szCs w:val="22"/>
        </w:rPr>
        <w:t xml:space="preserve"> </w:t>
      </w:r>
      <w:r w:rsidRPr="000B34A3">
        <w:rPr>
          <w:sz w:val="22"/>
          <w:szCs w:val="22"/>
        </w:rPr>
        <w:t>If you win, your lawyer charges a “success fee” on top of the normal hourly rate</w:t>
      </w:r>
      <w:r w:rsidR="00107B22" w:rsidRPr="000B34A3">
        <w:rPr>
          <w:sz w:val="22"/>
          <w:szCs w:val="22"/>
        </w:rPr>
        <w:t xml:space="preserve">. </w:t>
      </w:r>
    </w:p>
    <w:p w:rsidR="005644F5" w:rsidRPr="000B34A3" w:rsidRDefault="005644F5" w:rsidP="000B34A3">
      <w:pPr>
        <w:numPr>
          <w:ilvl w:val="0"/>
          <w:numId w:val="1"/>
        </w:numPr>
        <w:tabs>
          <w:tab w:val="clear" w:pos="720"/>
          <w:tab w:val="num" w:pos="360"/>
        </w:tabs>
        <w:spacing w:after="120"/>
        <w:ind w:left="-170" w:right="-170" w:firstLine="0"/>
        <w:jc w:val="both"/>
        <w:rPr>
          <w:sz w:val="22"/>
          <w:szCs w:val="22"/>
        </w:rPr>
      </w:pPr>
      <w:r w:rsidRPr="000B34A3">
        <w:rPr>
          <w:b/>
          <w:sz w:val="22"/>
          <w:szCs w:val="22"/>
        </w:rPr>
        <w:t xml:space="preserve">Discounted conditional fee agreement </w:t>
      </w:r>
      <w:r w:rsidR="002A1FAE" w:rsidRPr="000B34A3">
        <w:rPr>
          <w:b/>
          <w:sz w:val="22"/>
          <w:szCs w:val="22"/>
        </w:rPr>
        <w:t>(“Discounted CFA”)</w:t>
      </w:r>
      <w:r w:rsidR="00107B22" w:rsidRPr="000B34A3">
        <w:rPr>
          <w:sz w:val="22"/>
          <w:szCs w:val="22"/>
        </w:rPr>
        <w:t xml:space="preserve"> </w:t>
      </w:r>
      <w:r w:rsidRPr="000B34A3">
        <w:rPr>
          <w:sz w:val="22"/>
          <w:szCs w:val="22"/>
        </w:rPr>
        <w:t>– a</w:t>
      </w:r>
      <w:r w:rsidR="002A1FAE" w:rsidRPr="000B34A3">
        <w:rPr>
          <w:sz w:val="22"/>
          <w:szCs w:val="22"/>
        </w:rPr>
        <w:t xml:space="preserve"> discounted</w:t>
      </w:r>
      <w:r w:rsidRPr="000B34A3">
        <w:rPr>
          <w:sz w:val="22"/>
          <w:szCs w:val="22"/>
        </w:rPr>
        <w:t xml:space="preserve"> hourly rate is payable </w:t>
      </w:r>
      <w:r w:rsidR="002A1FAE" w:rsidRPr="000B34A3">
        <w:rPr>
          <w:sz w:val="22"/>
          <w:szCs w:val="22"/>
        </w:rPr>
        <w:t xml:space="preserve">as the case progresses but, </w:t>
      </w:r>
      <w:r w:rsidRPr="000B34A3">
        <w:rPr>
          <w:sz w:val="22"/>
          <w:szCs w:val="22"/>
        </w:rPr>
        <w:t xml:space="preserve">if the case is won </w:t>
      </w:r>
      <w:r w:rsidR="002A1FAE" w:rsidRPr="000B34A3">
        <w:rPr>
          <w:sz w:val="22"/>
          <w:szCs w:val="22"/>
        </w:rPr>
        <w:t>you would have to pay</w:t>
      </w:r>
      <w:r w:rsidRPr="000B34A3">
        <w:rPr>
          <w:sz w:val="22"/>
          <w:szCs w:val="22"/>
        </w:rPr>
        <w:t xml:space="preserve"> a success fee</w:t>
      </w:r>
      <w:r w:rsidR="002A1FAE" w:rsidRPr="000B34A3">
        <w:rPr>
          <w:sz w:val="22"/>
          <w:szCs w:val="22"/>
        </w:rPr>
        <w:t>, based upon the time spent and an “uplifted” hourly rate</w:t>
      </w:r>
      <w:r w:rsidRPr="000B34A3">
        <w:rPr>
          <w:sz w:val="22"/>
          <w:szCs w:val="22"/>
        </w:rPr>
        <w:t>.</w:t>
      </w:r>
    </w:p>
    <w:p w:rsidR="00E95B05" w:rsidRPr="00722C23" w:rsidRDefault="00E95B05" w:rsidP="000B34A3">
      <w:pPr>
        <w:numPr>
          <w:ilvl w:val="0"/>
          <w:numId w:val="1"/>
        </w:numPr>
        <w:tabs>
          <w:tab w:val="clear" w:pos="720"/>
          <w:tab w:val="num" w:pos="360"/>
        </w:tabs>
        <w:spacing w:after="120"/>
        <w:ind w:left="-170" w:right="-170" w:firstLine="0"/>
        <w:jc w:val="both"/>
        <w:rPr>
          <w:sz w:val="22"/>
          <w:szCs w:val="22"/>
        </w:rPr>
      </w:pPr>
      <w:r w:rsidRPr="000B34A3">
        <w:rPr>
          <w:b/>
          <w:sz w:val="22"/>
          <w:szCs w:val="22"/>
        </w:rPr>
        <w:t>Contingency fees</w:t>
      </w:r>
      <w:r w:rsidRPr="00722C23">
        <w:rPr>
          <w:sz w:val="22"/>
          <w:szCs w:val="22"/>
        </w:rPr>
        <w:t xml:space="preserve"> –</w:t>
      </w:r>
      <w:r>
        <w:rPr>
          <w:sz w:val="22"/>
          <w:szCs w:val="22"/>
        </w:rPr>
        <w:t xml:space="preserve"> </w:t>
      </w:r>
      <w:r w:rsidRPr="00722C23">
        <w:rPr>
          <w:sz w:val="22"/>
          <w:szCs w:val="22"/>
        </w:rPr>
        <w:t xml:space="preserve">you are not charged if you lose but the fee if you are successful is a percentage of what is recovered.  However, this arrangement cannot be used for </w:t>
      </w:r>
      <w:proofErr w:type="gramStart"/>
      <w:r w:rsidRPr="00722C23">
        <w:rPr>
          <w:sz w:val="22"/>
          <w:szCs w:val="22"/>
        </w:rPr>
        <w:t xml:space="preserve">cases which </w:t>
      </w:r>
      <w:r w:rsidR="00AB71F2">
        <w:rPr>
          <w:sz w:val="22"/>
          <w:szCs w:val="22"/>
        </w:rPr>
        <w:t>involves</w:t>
      </w:r>
      <w:proofErr w:type="gramEnd"/>
      <w:r w:rsidR="00AB71F2" w:rsidRPr="00722C23">
        <w:rPr>
          <w:sz w:val="22"/>
          <w:szCs w:val="22"/>
        </w:rPr>
        <w:t xml:space="preserve"> </w:t>
      </w:r>
      <w:r w:rsidRPr="00722C23">
        <w:rPr>
          <w:sz w:val="22"/>
          <w:szCs w:val="22"/>
        </w:rPr>
        <w:t>Court proceedings</w:t>
      </w:r>
      <w:r>
        <w:rPr>
          <w:sz w:val="22"/>
          <w:szCs w:val="22"/>
        </w:rPr>
        <w:t>. It is therefore only usually available for Employment Tribunal proceedings</w:t>
      </w:r>
      <w:r w:rsidRPr="00722C23">
        <w:rPr>
          <w:sz w:val="22"/>
          <w:szCs w:val="22"/>
        </w:rPr>
        <w:t>.</w:t>
      </w:r>
    </w:p>
    <w:p w:rsidR="002A1FAE" w:rsidRPr="000B34A3" w:rsidRDefault="002A1FAE" w:rsidP="000B34A3">
      <w:pPr>
        <w:numPr>
          <w:ilvl w:val="0"/>
          <w:numId w:val="1"/>
        </w:numPr>
        <w:tabs>
          <w:tab w:val="clear" w:pos="720"/>
          <w:tab w:val="num" w:pos="360"/>
        </w:tabs>
        <w:spacing w:after="120"/>
        <w:ind w:left="-170" w:right="-170" w:firstLine="0"/>
        <w:jc w:val="both"/>
        <w:rPr>
          <w:sz w:val="22"/>
          <w:szCs w:val="22"/>
        </w:rPr>
      </w:pPr>
      <w:r w:rsidRPr="000B34A3">
        <w:rPr>
          <w:b/>
          <w:sz w:val="22"/>
          <w:szCs w:val="22"/>
        </w:rPr>
        <w:t>Damages-based Arrangement</w:t>
      </w:r>
      <w:r>
        <w:rPr>
          <w:sz w:val="22"/>
          <w:szCs w:val="22"/>
        </w:rPr>
        <w:t xml:space="preserve"> (“DBA”) </w:t>
      </w:r>
      <w:r w:rsidR="00E95B05">
        <w:rPr>
          <w:sz w:val="22"/>
          <w:szCs w:val="22"/>
        </w:rPr>
        <w:t>–</w:t>
      </w:r>
      <w:r>
        <w:rPr>
          <w:sz w:val="22"/>
          <w:szCs w:val="22"/>
        </w:rPr>
        <w:t xml:space="preserve"> </w:t>
      </w:r>
      <w:r w:rsidR="00E95B05">
        <w:rPr>
          <w:sz w:val="22"/>
          <w:szCs w:val="22"/>
        </w:rPr>
        <w:t xml:space="preserve">a limited form of contingency fee agreement in which the client agrees to pay the solicitor a percentage of any monies recovered. The fees, including VAT cannot </w:t>
      </w:r>
      <w:r w:rsidR="00E95B05">
        <w:rPr>
          <w:sz w:val="22"/>
          <w:szCs w:val="22"/>
        </w:rPr>
        <w:lastRenderedPageBreak/>
        <w:t>exceed 50% of the sums recovered by the client. This can be used in litigation.</w:t>
      </w:r>
    </w:p>
    <w:p w:rsidR="00380BF2" w:rsidRPr="00722C23" w:rsidRDefault="00380BF2" w:rsidP="000B34A3">
      <w:pPr>
        <w:keepNext/>
        <w:spacing w:after="120"/>
        <w:ind w:left="-170" w:right="-170"/>
        <w:jc w:val="both"/>
        <w:rPr>
          <w:b/>
          <w:sz w:val="22"/>
          <w:szCs w:val="22"/>
        </w:rPr>
      </w:pPr>
      <w:r w:rsidRPr="00722C23">
        <w:rPr>
          <w:b/>
          <w:sz w:val="22"/>
          <w:szCs w:val="22"/>
        </w:rPr>
        <w:t>Points you should bear in mind.</w:t>
      </w:r>
    </w:p>
    <w:p w:rsidR="00380BF2" w:rsidRPr="00722C23" w:rsidRDefault="00380BF2" w:rsidP="000B34A3">
      <w:pPr>
        <w:spacing w:after="120"/>
        <w:ind w:left="-170" w:right="-170"/>
        <w:jc w:val="both"/>
        <w:rPr>
          <w:sz w:val="22"/>
          <w:szCs w:val="22"/>
        </w:rPr>
      </w:pPr>
      <w:r w:rsidRPr="00722C23">
        <w:rPr>
          <w:sz w:val="22"/>
          <w:szCs w:val="22"/>
        </w:rPr>
        <w:t xml:space="preserve">The idea of “no fee” or “reduced fee” is obviously attractive to clients but </w:t>
      </w:r>
      <w:r w:rsidR="00824B51">
        <w:rPr>
          <w:sz w:val="22"/>
          <w:szCs w:val="22"/>
        </w:rPr>
        <w:t>t</w:t>
      </w:r>
      <w:r w:rsidRPr="00722C23">
        <w:rPr>
          <w:sz w:val="22"/>
          <w:szCs w:val="22"/>
        </w:rPr>
        <w:t>here are other aspects of such arrangements.</w:t>
      </w:r>
    </w:p>
    <w:p w:rsidR="00107B22" w:rsidRDefault="00107B22" w:rsidP="000B34A3">
      <w:pPr>
        <w:numPr>
          <w:ilvl w:val="0"/>
          <w:numId w:val="1"/>
        </w:numPr>
        <w:tabs>
          <w:tab w:val="clear" w:pos="720"/>
          <w:tab w:val="num" w:pos="360"/>
        </w:tabs>
        <w:spacing w:after="120"/>
        <w:ind w:left="-170" w:right="-170" w:firstLine="0"/>
        <w:jc w:val="both"/>
        <w:rPr>
          <w:sz w:val="22"/>
          <w:szCs w:val="22"/>
        </w:rPr>
      </w:pPr>
      <w:r>
        <w:rPr>
          <w:sz w:val="22"/>
          <w:szCs w:val="22"/>
        </w:rPr>
        <w:t xml:space="preserve">If </w:t>
      </w:r>
      <w:r w:rsidR="00AB71F2">
        <w:rPr>
          <w:sz w:val="22"/>
          <w:szCs w:val="22"/>
        </w:rPr>
        <w:t xml:space="preserve">you are </w:t>
      </w:r>
      <w:r>
        <w:rPr>
          <w:sz w:val="22"/>
          <w:szCs w:val="22"/>
        </w:rPr>
        <w:t>successful under a CFA, Discounted CFA or DBA, y</w:t>
      </w:r>
      <w:r w:rsidRPr="00722C23">
        <w:rPr>
          <w:sz w:val="22"/>
          <w:szCs w:val="22"/>
        </w:rPr>
        <w:t>our opponent may be ordered to pay part of these charges</w:t>
      </w:r>
      <w:r>
        <w:rPr>
          <w:sz w:val="22"/>
          <w:szCs w:val="22"/>
        </w:rPr>
        <w:t>, calculated at the normal, or discounted hourly rate</w:t>
      </w:r>
      <w:r w:rsidRPr="00722C23">
        <w:rPr>
          <w:sz w:val="22"/>
          <w:szCs w:val="22"/>
        </w:rPr>
        <w:t xml:space="preserve">, </w:t>
      </w:r>
      <w:r w:rsidRPr="00CD2C2E">
        <w:rPr>
          <w:b/>
          <w:sz w:val="22"/>
          <w:szCs w:val="22"/>
        </w:rPr>
        <w:t>but not the success fee; you will have to pay this yourself out of any monies you recover.</w:t>
      </w:r>
    </w:p>
    <w:p w:rsidR="00380BF2" w:rsidRPr="00722C23" w:rsidRDefault="00380BF2" w:rsidP="000B34A3">
      <w:pPr>
        <w:numPr>
          <w:ilvl w:val="0"/>
          <w:numId w:val="1"/>
        </w:numPr>
        <w:tabs>
          <w:tab w:val="clear" w:pos="720"/>
          <w:tab w:val="num" w:pos="360"/>
        </w:tabs>
        <w:spacing w:after="120"/>
        <w:ind w:left="-170" w:right="-170" w:firstLine="0"/>
        <w:jc w:val="both"/>
        <w:rPr>
          <w:sz w:val="22"/>
          <w:szCs w:val="22"/>
        </w:rPr>
      </w:pPr>
      <w:r w:rsidRPr="00722C23">
        <w:rPr>
          <w:sz w:val="22"/>
          <w:szCs w:val="22"/>
        </w:rPr>
        <w:t xml:space="preserve">Instead of the normal client and independent adviser relationship, </w:t>
      </w:r>
      <w:r w:rsidR="007A7ACF">
        <w:rPr>
          <w:sz w:val="22"/>
          <w:szCs w:val="22"/>
        </w:rPr>
        <w:t>your lawyer</w:t>
      </w:r>
      <w:r w:rsidRPr="00722C23">
        <w:rPr>
          <w:sz w:val="22"/>
          <w:szCs w:val="22"/>
        </w:rPr>
        <w:t xml:space="preserve"> will be sharing a form of joint venture with you.  You may expect </w:t>
      </w:r>
      <w:r w:rsidR="007A7ACF">
        <w:rPr>
          <w:sz w:val="22"/>
          <w:szCs w:val="22"/>
        </w:rPr>
        <w:t>him</w:t>
      </w:r>
      <w:r w:rsidRPr="00722C23">
        <w:rPr>
          <w:sz w:val="22"/>
          <w:szCs w:val="22"/>
        </w:rPr>
        <w:t xml:space="preserve"> to have a greater say in the conduct of the litigation.</w:t>
      </w:r>
    </w:p>
    <w:p w:rsidR="00380BF2" w:rsidRPr="00722C23" w:rsidRDefault="007A7ACF" w:rsidP="000B34A3">
      <w:pPr>
        <w:numPr>
          <w:ilvl w:val="0"/>
          <w:numId w:val="1"/>
        </w:numPr>
        <w:tabs>
          <w:tab w:val="clear" w:pos="720"/>
          <w:tab w:val="num" w:pos="360"/>
        </w:tabs>
        <w:spacing w:after="120"/>
        <w:ind w:left="-170" w:right="-170" w:firstLine="0"/>
        <w:jc w:val="both"/>
        <w:rPr>
          <w:sz w:val="22"/>
          <w:szCs w:val="22"/>
        </w:rPr>
      </w:pPr>
      <w:r>
        <w:rPr>
          <w:sz w:val="22"/>
          <w:szCs w:val="22"/>
        </w:rPr>
        <w:t>Your lawyer</w:t>
      </w:r>
      <w:r w:rsidR="00380BF2" w:rsidRPr="00722C23">
        <w:rPr>
          <w:sz w:val="22"/>
          <w:szCs w:val="22"/>
        </w:rPr>
        <w:t xml:space="preserve"> will carry out a risk assessment at the beginning of the case</w:t>
      </w:r>
      <w:r w:rsidR="00824B51">
        <w:rPr>
          <w:sz w:val="22"/>
          <w:szCs w:val="22"/>
        </w:rPr>
        <w:t>,</w:t>
      </w:r>
      <w:r w:rsidR="00380BF2" w:rsidRPr="00722C23">
        <w:rPr>
          <w:sz w:val="22"/>
          <w:szCs w:val="22"/>
        </w:rPr>
        <w:t xml:space="preserve"> and at times during it</w:t>
      </w:r>
      <w:r w:rsidR="00824B51">
        <w:rPr>
          <w:sz w:val="22"/>
          <w:szCs w:val="22"/>
        </w:rPr>
        <w:t>,</w:t>
      </w:r>
      <w:r w:rsidR="00380BF2" w:rsidRPr="00722C23">
        <w:rPr>
          <w:sz w:val="22"/>
          <w:szCs w:val="22"/>
        </w:rPr>
        <w:t xml:space="preserve"> to decide whether </w:t>
      </w:r>
      <w:r>
        <w:rPr>
          <w:sz w:val="22"/>
          <w:szCs w:val="22"/>
        </w:rPr>
        <w:t>he is</w:t>
      </w:r>
      <w:r w:rsidR="00380BF2" w:rsidRPr="00722C23">
        <w:rPr>
          <w:sz w:val="22"/>
          <w:szCs w:val="22"/>
        </w:rPr>
        <w:t xml:space="preserve"> prepared to take it on </w:t>
      </w:r>
      <w:r w:rsidR="005644F5">
        <w:rPr>
          <w:sz w:val="22"/>
          <w:szCs w:val="22"/>
        </w:rPr>
        <w:t xml:space="preserve">at all </w:t>
      </w:r>
      <w:r w:rsidR="00380BF2" w:rsidRPr="00722C23">
        <w:rPr>
          <w:sz w:val="22"/>
          <w:szCs w:val="22"/>
        </w:rPr>
        <w:t>or</w:t>
      </w:r>
      <w:r w:rsidR="00D515DB">
        <w:rPr>
          <w:sz w:val="22"/>
          <w:szCs w:val="22"/>
        </w:rPr>
        <w:t>,</w:t>
      </w:r>
      <w:r w:rsidR="00380BF2" w:rsidRPr="00722C23">
        <w:rPr>
          <w:sz w:val="22"/>
          <w:szCs w:val="22"/>
        </w:rPr>
        <w:t xml:space="preserve"> </w:t>
      </w:r>
      <w:r w:rsidR="00D515DB">
        <w:rPr>
          <w:sz w:val="22"/>
          <w:szCs w:val="22"/>
        </w:rPr>
        <w:t>having started,</w:t>
      </w:r>
      <w:r w:rsidR="00D515DB" w:rsidRPr="00722C23">
        <w:rPr>
          <w:sz w:val="22"/>
          <w:szCs w:val="22"/>
        </w:rPr>
        <w:t xml:space="preserve"> </w:t>
      </w:r>
      <w:r w:rsidR="00380BF2" w:rsidRPr="00722C23">
        <w:rPr>
          <w:sz w:val="22"/>
          <w:szCs w:val="22"/>
        </w:rPr>
        <w:t>to continue with it.</w:t>
      </w:r>
    </w:p>
    <w:p w:rsidR="00380BF2" w:rsidRPr="00722C23" w:rsidRDefault="00380BF2" w:rsidP="000B34A3">
      <w:pPr>
        <w:numPr>
          <w:ilvl w:val="0"/>
          <w:numId w:val="1"/>
        </w:numPr>
        <w:tabs>
          <w:tab w:val="clear" w:pos="720"/>
          <w:tab w:val="num" w:pos="360"/>
        </w:tabs>
        <w:spacing w:after="120"/>
        <w:ind w:left="-170" w:right="-170" w:firstLine="0"/>
        <w:jc w:val="both"/>
        <w:rPr>
          <w:sz w:val="22"/>
          <w:szCs w:val="22"/>
        </w:rPr>
      </w:pPr>
      <w:r w:rsidRPr="00722C23">
        <w:rPr>
          <w:sz w:val="22"/>
          <w:szCs w:val="22"/>
        </w:rPr>
        <w:t xml:space="preserve">If </w:t>
      </w:r>
      <w:r w:rsidR="007A7ACF">
        <w:rPr>
          <w:sz w:val="22"/>
          <w:szCs w:val="22"/>
        </w:rPr>
        <w:t>your la</w:t>
      </w:r>
      <w:r w:rsidR="00A40A13">
        <w:rPr>
          <w:sz w:val="22"/>
          <w:szCs w:val="22"/>
        </w:rPr>
        <w:t>w</w:t>
      </w:r>
      <w:r w:rsidR="007A7ACF">
        <w:rPr>
          <w:sz w:val="22"/>
          <w:szCs w:val="22"/>
        </w:rPr>
        <w:t>yer is</w:t>
      </w:r>
      <w:r w:rsidRPr="00722C23">
        <w:rPr>
          <w:sz w:val="22"/>
          <w:szCs w:val="22"/>
        </w:rPr>
        <w:t xml:space="preserve"> effectively going to be sharing in the rewards with you, you will have to satisfy yourself whether </w:t>
      </w:r>
      <w:r w:rsidR="007A7ACF">
        <w:rPr>
          <w:sz w:val="22"/>
          <w:szCs w:val="22"/>
        </w:rPr>
        <w:t xml:space="preserve">his terms for doing so are </w:t>
      </w:r>
      <w:r w:rsidR="00824B51">
        <w:rPr>
          <w:sz w:val="22"/>
          <w:szCs w:val="22"/>
        </w:rPr>
        <w:t>fair and reasonable.</w:t>
      </w:r>
    </w:p>
    <w:p w:rsidR="00380BF2" w:rsidRDefault="007A7ACF" w:rsidP="000B34A3">
      <w:pPr>
        <w:numPr>
          <w:ilvl w:val="0"/>
          <w:numId w:val="1"/>
        </w:numPr>
        <w:tabs>
          <w:tab w:val="clear" w:pos="720"/>
          <w:tab w:val="num" w:pos="360"/>
        </w:tabs>
        <w:spacing w:after="120"/>
        <w:ind w:left="-170" w:right="-170" w:firstLine="0"/>
        <w:jc w:val="both"/>
        <w:rPr>
          <w:sz w:val="22"/>
          <w:szCs w:val="22"/>
        </w:rPr>
      </w:pPr>
      <w:r>
        <w:rPr>
          <w:sz w:val="22"/>
          <w:szCs w:val="22"/>
        </w:rPr>
        <w:t>You may need</w:t>
      </w:r>
      <w:r w:rsidR="00380BF2" w:rsidRPr="00722C23">
        <w:rPr>
          <w:sz w:val="22"/>
          <w:szCs w:val="22"/>
        </w:rPr>
        <w:t xml:space="preserve"> to pay for some initial investigation into your case before </w:t>
      </w:r>
      <w:r>
        <w:rPr>
          <w:sz w:val="22"/>
          <w:szCs w:val="22"/>
        </w:rPr>
        <w:t xml:space="preserve">your lawyer can </w:t>
      </w:r>
      <w:r w:rsidR="00380BF2" w:rsidRPr="00722C23">
        <w:rPr>
          <w:sz w:val="22"/>
          <w:szCs w:val="22"/>
        </w:rPr>
        <w:t>decid</w:t>
      </w:r>
      <w:r>
        <w:rPr>
          <w:sz w:val="22"/>
          <w:szCs w:val="22"/>
        </w:rPr>
        <w:t>e</w:t>
      </w:r>
      <w:r w:rsidR="00380BF2" w:rsidRPr="00722C23">
        <w:rPr>
          <w:sz w:val="22"/>
          <w:szCs w:val="22"/>
        </w:rPr>
        <w:t xml:space="preserve"> whether to offer a risk sharing arrangement.</w:t>
      </w:r>
    </w:p>
    <w:p w:rsidR="00107B22" w:rsidRPr="00722C23" w:rsidRDefault="00107B22" w:rsidP="000B34A3">
      <w:pPr>
        <w:numPr>
          <w:ilvl w:val="0"/>
          <w:numId w:val="1"/>
        </w:numPr>
        <w:tabs>
          <w:tab w:val="clear" w:pos="720"/>
          <w:tab w:val="num" w:pos="360"/>
        </w:tabs>
        <w:spacing w:after="120"/>
        <w:ind w:left="-170" w:right="-170" w:firstLine="0"/>
        <w:jc w:val="both"/>
        <w:rPr>
          <w:sz w:val="22"/>
          <w:szCs w:val="22"/>
        </w:rPr>
      </w:pPr>
      <w:r>
        <w:rPr>
          <w:sz w:val="22"/>
          <w:szCs w:val="22"/>
        </w:rPr>
        <w:t>Even if we cannot offer a risk-sharing arrangement with you, you may still be able to find another lawyer who will do so.</w:t>
      </w:r>
    </w:p>
    <w:p w:rsidR="00380BF2" w:rsidRPr="00824B51" w:rsidRDefault="00380BF2" w:rsidP="000B34A3">
      <w:pPr>
        <w:keepNext/>
        <w:spacing w:after="120"/>
        <w:ind w:left="-170" w:right="-170"/>
        <w:jc w:val="both"/>
        <w:rPr>
          <w:b/>
        </w:rPr>
      </w:pPr>
      <w:r w:rsidRPr="00824B51">
        <w:rPr>
          <w:b/>
        </w:rPr>
        <w:t>Our usual funding arrangements</w:t>
      </w:r>
    </w:p>
    <w:p w:rsidR="00824B51" w:rsidRDefault="00380BF2" w:rsidP="000B34A3">
      <w:pPr>
        <w:spacing w:after="120"/>
        <w:ind w:left="-170" w:right="-170"/>
        <w:jc w:val="both"/>
        <w:rPr>
          <w:b/>
          <w:sz w:val="22"/>
          <w:szCs w:val="22"/>
        </w:rPr>
      </w:pPr>
      <w:r w:rsidRPr="00722C23">
        <w:rPr>
          <w:b/>
          <w:sz w:val="22"/>
          <w:szCs w:val="22"/>
        </w:rPr>
        <w:t xml:space="preserve">Unless </w:t>
      </w:r>
      <w:r w:rsidR="00CD5E9F">
        <w:rPr>
          <w:b/>
          <w:sz w:val="22"/>
          <w:szCs w:val="22"/>
        </w:rPr>
        <w:t xml:space="preserve">and until </w:t>
      </w:r>
      <w:r w:rsidRPr="00722C23">
        <w:rPr>
          <w:b/>
          <w:sz w:val="22"/>
          <w:szCs w:val="22"/>
        </w:rPr>
        <w:t xml:space="preserve">you agree with us one of the other funding arrangements mentioned in this leaflet, </w:t>
      </w:r>
      <w:r w:rsidR="00CD5E9F">
        <w:rPr>
          <w:b/>
          <w:sz w:val="22"/>
          <w:szCs w:val="22"/>
        </w:rPr>
        <w:t>you</w:t>
      </w:r>
      <w:r w:rsidRPr="00722C23">
        <w:rPr>
          <w:b/>
          <w:sz w:val="22"/>
          <w:szCs w:val="22"/>
        </w:rPr>
        <w:t xml:space="preserve"> will </w:t>
      </w:r>
      <w:r w:rsidR="00CD5E9F">
        <w:rPr>
          <w:b/>
          <w:sz w:val="22"/>
          <w:szCs w:val="22"/>
        </w:rPr>
        <w:t>be obliged</w:t>
      </w:r>
      <w:r w:rsidRPr="00722C23">
        <w:rPr>
          <w:b/>
          <w:sz w:val="22"/>
          <w:szCs w:val="22"/>
        </w:rPr>
        <w:t xml:space="preserve"> to </w:t>
      </w:r>
      <w:r w:rsidR="00D515DB">
        <w:rPr>
          <w:b/>
          <w:sz w:val="22"/>
          <w:szCs w:val="22"/>
        </w:rPr>
        <w:t>pay</w:t>
      </w:r>
      <w:r w:rsidRPr="00722C23">
        <w:rPr>
          <w:b/>
          <w:sz w:val="22"/>
          <w:szCs w:val="22"/>
        </w:rPr>
        <w:t xml:space="preserve"> our charges on an hourly rate basis</w:t>
      </w:r>
      <w:r w:rsidR="00D515DB">
        <w:rPr>
          <w:b/>
          <w:sz w:val="22"/>
          <w:szCs w:val="22"/>
        </w:rPr>
        <w:t>, as set out in the Engagement Letter</w:t>
      </w:r>
      <w:r w:rsidRPr="00722C23">
        <w:rPr>
          <w:b/>
          <w:sz w:val="22"/>
          <w:szCs w:val="22"/>
        </w:rPr>
        <w:t xml:space="preserve">. </w:t>
      </w:r>
    </w:p>
    <w:p w:rsidR="00A40A13" w:rsidRDefault="00380BF2" w:rsidP="000B34A3">
      <w:pPr>
        <w:spacing w:after="120"/>
        <w:ind w:left="-170" w:right="-170"/>
        <w:jc w:val="both"/>
        <w:rPr>
          <w:sz w:val="22"/>
          <w:szCs w:val="22"/>
        </w:rPr>
      </w:pPr>
      <w:r w:rsidRPr="00722C23">
        <w:rPr>
          <w:sz w:val="22"/>
          <w:szCs w:val="22"/>
        </w:rPr>
        <w:t>Regular payments on account of these charges will be expected</w:t>
      </w:r>
      <w:r w:rsidR="008E47BD" w:rsidRPr="00722C23">
        <w:rPr>
          <w:sz w:val="22"/>
          <w:szCs w:val="22"/>
        </w:rPr>
        <w:t xml:space="preserve"> and we will not be able to start work on your case until </w:t>
      </w:r>
      <w:r w:rsidR="00D515DB">
        <w:rPr>
          <w:sz w:val="22"/>
          <w:szCs w:val="22"/>
        </w:rPr>
        <w:t>the Engagement Letter has been</w:t>
      </w:r>
      <w:r w:rsidR="008E47BD" w:rsidRPr="00722C23">
        <w:rPr>
          <w:sz w:val="22"/>
          <w:szCs w:val="22"/>
        </w:rPr>
        <w:t xml:space="preserve"> signed</w:t>
      </w:r>
      <w:r w:rsidR="00D515DB">
        <w:rPr>
          <w:sz w:val="22"/>
          <w:szCs w:val="22"/>
        </w:rPr>
        <w:t xml:space="preserve"> and returned</w:t>
      </w:r>
      <w:r w:rsidR="008E47BD" w:rsidRPr="00722C23">
        <w:rPr>
          <w:sz w:val="22"/>
          <w:szCs w:val="22"/>
        </w:rPr>
        <w:t xml:space="preserve">.  Under this arrangement you know that you are paying for wholly independent advice and that you retain control of your own litigation.  </w:t>
      </w:r>
      <w:r w:rsidR="005644F5">
        <w:rPr>
          <w:sz w:val="22"/>
          <w:szCs w:val="22"/>
        </w:rPr>
        <w:t>Therefore</w:t>
      </w:r>
      <w:r w:rsidR="008E47BD" w:rsidRPr="00722C23">
        <w:rPr>
          <w:sz w:val="22"/>
          <w:szCs w:val="22"/>
        </w:rPr>
        <w:t xml:space="preserve">, please tell us if you wish to place a limit on the costs </w:t>
      </w:r>
      <w:r w:rsidR="005644F5">
        <w:rPr>
          <w:sz w:val="22"/>
          <w:szCs w:val="22"/>
        </w:rPr>
        <w:t>to be</w:t>
      </w:r>
      <w:r w:rsidR="005644F5" w:rsidRPr="00722C23">
        <w:rPr>
          <w:sz w:val="22"/>
          <w:szCs w:val="22"/>
        </w:rPr>
        <w:t xml:space="preserve"> </w:t>
      </w:r>
      <w:r w:rsidR="008E47BD" w:rsidRPr="00722C23">
        <w:rPr>
          <w:sz w:val="22"/>
          <w:szCs w:val="22"/>
        </w:rPr>
        <w:t>incurred up to, for example, the issue of Court proceedings</w:t>
      </w:r>
      <w:r w:rsidR="005644F5">
        <w:rPr>
          <w:sz w:val="22"/>
          <w:szCs w:val="22"/>
        </w:rPr>
        <w:t>.</w:t>
      </w:r>
    </w:p>
    <w:p w:rsidR="00DF1DE2" w:rsidRPr="00722C23" w:rsidRDefault="00DF1DE2" w:rsidP="000B34A3">
      <w:pPr>
        <w:spacing w:after="120"/>
        <w:ind w:left="-170" w:right="-170"/>
        <w:jc w:val="both"/>
        <w:rPr>
          <w:sz w:val="22"/>
          <w:szCs w:val="22"/>
        </w:rPr>
      </w:pPr>
      <w:r w:rsidRPr="00994564">
        <w:rPr>
          <w:sz w:val="20"/>
          <w:szCs w:val="20"/>
        </w:rPr>
        <w:t>© Hughes Enterprise Law Practice</w:t>
      </w:r>
    </w:p>
    <w:sectPr w:rsidR="00DF1DE2" w:rsidRPr="00722C23" w:rsidSect="000127DA">
      <w:headerReference w:type="default" r:id="rId11"/>
      <w:type w:val="continuous"/>
      <w:pgSz w:w="11906" w:h="16838"/>
      <w:pgMar w:top="1418" w:right="924" w:bottom="1077" w:left="1077" w:header="709" w:footer="386" w:gutter="0"/>
      <w:cols w:num="2" w:space="5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D48" w:rsidRDefault="00892D48">
      <w:r>
        <w:separator/>
      </w:r>
    </w:p>
  </w:endnote>
  <w:endnote w:type="continuationSeparator" w:id="0">
    <w:p w:rsidR="00892D48" w:rsidRDefault="0089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AE" w:rsidRPr="00C95A91" w:rsidRDefault="00CD5E9F" w:rsidP="005644F5">
    <w:pPr>
      <w:pStyle w:val="Footer"/>
      <w:tabs>
        <w:tab w:val="clear" w:pos="4320"/>
        <w:tab w:val="clear" w:pos="8640"/>
        <w:tab w:val="center" w:pos="4680"/>
        <w:tab w:val="right" w:pos="9540"/>
      </w:tabs>
      <w:rPr>
        <w:sz w:val="16"/>
        <w:szCs w:val="16"/>
      </w:rPr>
    </w:pPr>
    <w:proofErr w:type="gramStart"/>
    <w:r>
      <w:rPr>
        <w:sz w:val="16"/>
        <w:szCs w:val="16"/>
      </w:rPr>
      <w:t>5</w:t>
    </w:r>
    <w:r w:rsidR="008D11D5" w:rsidRPr="000B34A3">
      <w:rPr>
        <w:sz w:val="16"/>
        <w:szCs w:val="16"/>
        <w:vertAlign w:val="superscript"/>
      </w:rPr>
      <w:t>th</w:t>
    </w:r>
    <w:r w:rsidR="008D11D5">
      <w:rPr>
        <w:sz w:val="16"/>
        <w:szCs w:val="16"/>
      </w:rPr>
      <w:t xml:space="preserve"> </w:t>
    </w:r>
    <w:r w:rsidR="00A40A13">
      <w:rPr>
        <w:sz w:val="16"/>
        <w:szCs w:val="16"/>
      </w:rPr>
      <w:t xml:space="preserve"> </w:t>
    </w:r>
    <w:r w:rsidR="00793DAE" w:rsidRPr="00C95A91">
      <w:rPr>
        <w:sz w:val="16"/>
        <w:szCs w:val="16"/>
      </w:rPr>
      <w:t>Edition</w:t>
    </w:r>
    <w:proofErr w:type="gramEnd"/>
    <w:r w:rsidR="00793DAE">
      <w:rPr>
        <w:sz w:val="16"/>
        <w:szCs w:val="16"/>
      </w:rPr>
      <w:tab/>
    </w:r>
    <w:r w:rsidR="00793DAE" w:rsidRPr="004266D7">
      <w:rPr>
        <w:rStyle w:val="PageNumber"/>
        <w:sz w:val="16"/>
        <w:szCs w:val="16"/>
      </w:rPr>
      <w:fldChar w:fldCharType="begin"/>
    </w:r>
    <w:r w:rsidR="00793DAE" w:rsidRPr="004266D7">
      <w:rPr>
        <w:rStyle w:val="PageNumber"/>
        <w:sz w:val="16"/>
        <w:szCs w:val="16"/>
      </w:rPr>
      <w:instrText xml:space="preserve"> PAGE </w:instrText>
    </w:r>
    <w:r w:rsidR="00793DAE" w:rsidRPr="004266D7">
      <w:rPr>
        <w:rStyle w:val="PageNumber"/>
        <w:sz w:val="16"/>
        <w:szCs w:val="16"/>
      </w:rPr>
      <w:fldChar w:fldCharType="separate"/>
    </w:r>
    <w:r w:rsidR="008C226F">
      <w:rPr>
        <w:rStyle w:val="PageNumber"/>
        <w:noProof/>
        <w:sz w:val="16"/>
        <w:szCs w:val="16"/>
      </w:rPr>
      <w:t>1</w:t>
    </w:r>
    <w:r w:rsidR="00793DAE" w:rsidRPr="004266D7">
      <w:rPr>
        <w:rStyle w:val="PageNumber"/>
        <w:sz w:val="16"/>
        <w:szCs w:val="16"/>
      </w:rPr>
      <w:fldChar w:fldCharType="end"/>
    </w:r>
    <w:r w:rsidR="00793DAE">
      <w:rPr>
        <w:sz w:val="16"/>
        <w:szCs w:val="16"/>
      </w:rPr>
      <w:tab/>
    </w:r>
    <w:r>
      <w:rPr>
        <w:sz w:val="16"/>
        <w:szCs w:val="16"/>
      </w:rPr>
      <w:t>September 2014</w:t>
    </w:r>
  </w:p>
  <w:p w:rsidR="00793DAE" w:rsidRDefault="00793DAE" w:rsidP="004266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D48" w:rsidRDefault="00892D48">
      <w:r>
        <w:separator/>
      </w:r>
    </w:p>
  </w:footnote>
  <w:footnote w:type="continuationSeparator" w:id="0">
    <w:p w:rsidR="00892D48" w:rsidRDefault="00892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AE" w:rsidRDefault="00793DAE" w:rsidP="00722C23">
    <w:pPr>
      <w:jc w:val="center"/>
      <w:rPr>
        <w:b/>
      </w:rPr>
    </w:pPr>
    <w:r w:rsidRPr="00722C23">
      <w:rPr>
        <w:b/>
      </w:rPr>
      <w:t xml:space="preserve">HUGHES </w:t>
    </w:r>
    <w:smartTag w:uri="urn:schemas-microsoft-com:office:smarttags" w:element="City">
      <w:smartTag w:uri="urn:schemas-microsoft-com:office:smarttags" w:element="place">
        <w:r w:rsidRPr="00722C23">
          <w:rPr>
            <w:b/>
          </w:rPr>
          <w:t>ENTERPRISE</w:t>
        </w:r>
      </w:smartTag>
    </w:smartTag>
    <w:r w:rsidRPr="00722C23">
      <w:rPr>
        <w:b/>
      </w:rPr>
      <w:t xml:space="preserve"> LAW PRACTICE</w:t>
    </w:r>
  </w:p>
  <w:p w:rsidR="00793DAE" w:rsidRPr="00722C23" w:rsidRDefault="00793DAE" w:rsidP="00722C23">
    <w:pPr>
      <w:jc w:val="center"/>
      <w:rPr>
        <w:b/>
      </w:rPr>
    </w:pPr>
    <w:r w:rsidRPr="00722C23">
      <w:rPr>
        <w:b/>
      </w:rPr>
      <w:t xml:space="preserve">INFORMATION FOR CLIENTS ON FUNDING OF DISPUTE </w:t>
    </w:r>
  </w:p>
  <w:p w:rsidR="00793DAE" w:rsidRPr="00722C23" w:rsidRDefault="00793DAE" w:rsidP="00722C23">
    <w:pPr>
      <w:jc w:val="center"/>
      <w:rPr>
        <w:b/>
      </w:rPr>
    </w:pPr>
    <w:r w:rsidRPr="00722C23">
      <w:rPr>
        <w:b/>
      </w:rPr>
      <w:t>RESOLUTION</w:t>
    </w:r>
    <w:r>
      <w:rPr>
        <w:b/>
      </w:rPr>
      <w:t>,</w:t>
    </w:r>
    <w:r w:rsidRPr="00722C23">
      <w:rPr>
        <w:b/>
      </w:rPr>
      <w:t xml:space="preserve"> LITIGATION</w:t>
    </w:r>
    <w:r>
      <w:rPr>
        <w:b/>
      </w:rPr>
      <w:t xml:space="preserve"> AND TRIBUNAL CLAIMS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AE" w:rsidRPr="00722C23" w:rsidRDefault="00793DAE" w:rsidP="00722C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60AC5"/>
    <w:multiLevelType w:val="hybridMultilevel"/>
    <w:tmpl w:val="6F84B3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96"/>
    <w:rsid w:val="000127DA"/>
    <w:rsid w:val="00031955"/>
    <w:rsid w:val="000A4905"/>
    <w:rsid w:val="000B34A3"/>
    <w:rsid w:val="00104720"/>
    <w:rsid w:val="00107B22"/>
    <w:rsid w:val="00186749"/>
    <w:rsid w:val="001C6496"/>
    <w:rsid w:val="0025341F"/>
    <w:rsid w:val="002711AF"/>
    <w:rsid w:val="002A1FAE"/>
    <w:rsid w:val="003301EA"/>
    <w:rsid w:val="00334FA6"/>
    <w:rsid w:val="00380BF2"/>
    <w:rsid w:val="003D13E3"/>
    <w:rsid w:val="004173C1"/>
    <w:rsid w:val="0042309E"/>
    <w:rsid w:val="004266D7"/>
    <w:rsid w:val="00445AA0"/>
    <w:rsid w:val="004D220F"/>
    <w:rsid w:val="00505011"/>
    <w:rsid w:val="005127EE"/>
    <w:rsid w:val="00516157"/>
    <w:rsid w:val="00554181"/>
    <w:rsid w:val="005644F5"/>
    <w:rsid w:val="00577782"/>
    <w:rsid w:val="005E0090"/>
    <w:rsid w:val="0062759D"/>
    <w:rsid w:val="00642961"/>
    <w:rsid w:val="00715946"/>
    <w:rsid w:val="00722C23"/>
    <w:rsid w:val="00724AC1"/>
    <w:rsid w:val="007803C3"/>
    <w:rsid w:val="00793DAE"/>
    <w:rsid w:val="007A7ACF"/>
    <w:rsid w:val="007C0FA7"/>
    <w:rsid w:val="00804BCC"/>
    <w:rsid w:val="00824B51"/>
    <w:rsid w:val="00841A60"/>
    <w:rsid w:val="00892D48"/>
    <w:rsid w:val="008C226F"/>
    <w:rsid w:val="008D11D5"/>
    <w:rsid w:val="008E47BD"/>
    <w:rsid w:val="00916BC0"/>
    <w:rsid w:val="009F05A9"/>
    <w:rsid w:val="00A40A13"/>
    <w:rsid w:val="00AA786D"/>
    <w:rsid w:val="00AB71F2"/>
    <w:rsid w:val="00AE36A2"/>
    <w:rsid w:val="00BC2E2A"/>
    <w:rsid w:val="00C01447"/>
    <w:rsid w:val="00C7198A"/>
    <w:rsid w:val="00C94F04"/>
    <w:rsid w:val="00CC6E6D"/>
    <w:rsid w:val="00CD5E9F"/>
    <w:rsid w:val="00D515DB"/>
    <w:rsid w:val="00DF1DE2"/>
    <w:rsid w:val="00E82810"/>
    <w:rsid w:val="00E95B05"/>
    <w:rsid w:val="00F073B8"/>
    <w:rsid w:val="00F77FF6"/>
    <w:rsid w:val="00FB40F2"/>
    <w:rsid w:val="00FC42A6"/>
    <w:rsid w:val="00FD2731"/>
    <w:rsid w:val="00FE1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2C23"/>
    <w:pPr>
      <w:tabs>
        <w:tab w:val="center" w:pos="4320"/>
        <w:tab w:val="right" w:pos="8640"/>
      </w:tabs>
    </w:pPr>
  </w:style>
  <w:style w:type="paragraph" w:styleId="Footer">
    <w:name w:val="footer"/>
    <w:basedOn w:val="Normal"/>
    <w:rsid w:val="00722C23"/>
    <w:pPr>
      <w:tabs>
        <w:tab w:val="center" w:pos="4320"/>
        <w:tab w:val="right" w:pos="8640"/>
      </w:tabs>
    </w:pPr>
  </w:style>
  <w:style w:type="character" w:styleId="PageNumber">
    <w:name w:val="page number"/>
    <w:basedOn w:val="DefaultParagraphFont"/>
    <w:rsid w:val="004266D7"/>
  </w:style>
  <w:style w:type="paragraph" w:styleId="BalloonText">
    <w:name w:val="Balloon Text"/>
    <w:basedOn w:val="Normal"/>
    <w:semiHidden/>
    <w:rsid w:val="00DF1DE2"/>
    <w:rPr>
      <w:rFonts w:ascii="Tahoma" w:hAnsi="Tahoma" w:cs="Tahoma"/>
      <w:sz w:val="16"/>
      <w:szCs w:val="16"/>
    </w:rPr>
  </w:style>
  <w:style w:type="character" w:styleId="Hyperlink">
    <w:name w:val="Hyperlink"/>
    <w:uiPriority w:val="99"/>
    <w:unhideWhenUsed/>
    <w:rsid w:val="008D11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2C23"/>
    <w:pPr>
      <w:tabs>
        <w:tab w:val="center" w:pos="4320"/>
        <w:tab w:val="right" w:pos="8640"/>
      </w:tabs>
    </w:pPr>
  </w:style>
  <w:style w:type="paragraph" w:styleId="Footer">
    <w:name w:val="footer"/>
    <w:basedOn w:val="Normal"/>
    <w:rsid w:val="00722C23"/>
    <w:pPr>
      <w:tabs>
        <w:tab w:val="center" w:pos="4320"/>
        <w:tab w:val="right" w:pos="8640"/>
      </w:tabs>
    </w:pPr>
  </w:style>
  <w:style w:type="character" w:styleId="PageNumber">
    <w:name w:val="page number"/>
    <w:basedOn w:val="DefaultParagraphFont"/>
    <w:rsid w:val="004266D7"/>
  </w:style>
  <w:style w:type="paragraph" w:styleId="BalloonText">
    <w:name w:val="Balloon Text"/>
    <w:basedOn w:val="Normal"/>
    <w:semiHidden/>
    <w:rsid w:val="00DF1DE2"/>
    <w:rPr>
      <w:rFonts w:ascii="Tahoma" w:hAnsi="Tahoma" w:cs="Tahoma"/>
      <w:sz w:val="16"/>
      <w:szCs w:val="16"/>
    </w:rPr>
  </w:style>
  <w:style w:type="character" w:styleId="Hyperlink">
    <w:name w:val="Hyperlink"/>
    <w:uiPriority w:val="99"/>
    <w:unhideWhenUsed/>
    <w:rsid w:val="008D11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gov.uk/check-legal-ai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1448</Words>
  <Characters>7147</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HUGHES ENTERPRISE LAW PRACTICE</vt:lpstr>
    </vt:vector>
  </TitlesOfParts>
  <Company>HP</Company>
  <LinksUpToDate>false</LinksUpToDate>
  <CharactersWithSpaces>8578</CharactersWithSpaces>
  <SharedDoc>false</SharedDoc>
  <HLinks>
    <vt:vector size="6" baseType="variant">
      <vt:variant>
        <vt:i4>6815858</vt:i4>
      </vt:variant>
      <vt:variant>
        <vt:i4>0</vt:i4>
      </vt:variant>
      <vt:variant>
        <vt:i4>0</vt:i4>
      </vt:variant>
      <vt:variant>
        <vt:i4>5</vt:i4>
      </vt:variant>
      <vt:variant>
        <vt:lpwstr>https://www.gov.uk/check-legal-aid</vt:lpwstr>
      </vt:variant>
      <vt:variant>
        <vt:lpwstr>before-you-start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HUGHES ENTERPRISE LAW PRACTICE</dc:title>
  <dc:creator>Temp</dc:creator>
  <cp:lastModifiedBy>Tony Hughes</cp:lastModifiedBy>
  <cp:revision>3</cp:revision>
  <cp:lastPrinted>2014-09-09T13:34:00Z</cp:lastPrinted>
  <dcterms:created xsi:type="dcterms:W3CDTF">2014-11-21T14:32:00Z</dcterms:created>
  <dcterms:modified xsi:type="dcterms:W3CDTF">2014-11-21T14:32:00Z</dcterms:modified>
</cp:coreProperties>
</file>